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04" w:rsidRDefault="0036485C">
      <w:pPr>
        <w:tabs>
          <w:tab w:val="left" w:pos="1316"/>
        </w:tabs>
        <w:jc w:val="center"/>
        <w:rPr>
          <w:b/>
          <w:sz w:val="24"/>
          <w:szCs w:val="24"/>
        </w:rPr>
      </w:pPr>
      <w:r>
        <w:rPr>
          <w:b/>
          <w:sz w:val="24"/>
          <w:szCs w:val="24"/>
        </w:rPr>
        <w:t>Ενδεικτική Βιβλιογραφία</w:t>
      </w:r>
    </w:p>
    <w:p w:rsidR="00386404" w:rsidRDefault="00386404">
      <w:pPr>
        <w:tabs>
          <w:tab w:val="left" w:pos="1316"/>
        </w:tabs>
        <w:jc w:val="center"/>
        <w:rPr>
          <w:b/>
          <w:sz w:val="24"/>
          <w:szCs w:val="24"/>
        </w:rPr>
      </w:pPr>
    </w:p>
    <w:p w:rsidR="00386404" w:rsidRDefault="0036485C">
      <w:pPr>
        <w:tabs>
          <w:tab w:val="left" w:pos="1316"/>
        </w:tabs>
        <w:jc w:val="center"/>
        <w:rPr>
          <w:b/>
        </w:rPr>
      </w:pPr>
      <w:r>
        <w:rPr>
          <w:b/>
        </w:rPr>
        <w:t>(Να παραθέσετε τη βιβλιογραφία στην οποία βασίζεται το θεωρητικό πλαίσιο του προγράμματος)</w:t>
      </w:r>
    </w:p>
    <w:p w:rsidR="00386404" w:rsidRDefault="00386404">
      <w:pPr>
        <w:tabs>
          <w:tab w:val="left" w:pos="1316"/>
        </w:tabs>
        <w:jc w:val="center"/>
        <w:rPr>
          <w:b/>
        </w:rPr>
      </w:pPr>
    </w:p>
    <w:p w:rsidR="00386404" w:rsidRPr="00CC6070" w:rsidRDefault="0036485C" w:rsidP="00CC6070">
      <w:pPr>
        <w:pStyle w:val="3"/>
        <w:keepNext w:val="0"/>
        <w:keepLines w:val="0"/>
        <w:pBdr>
          <w:top w:val="none" w:sz="0" w:space="0" w:color="DEE0E3"/>
          <w:left w:val="none" w:sz="0" w:space="0" w:color="DEE0E3"/>
          <w:bottom w:val="none" w:sz="0" w:space="0" w:color="DEE0E3"/>
          <w:right w:val="none" w:sz="0" w:space="0" w:color="DEE0E3"/>
          <w:between w:val="none" w:sz="0" w:space="0" w:color="DEE0E3"/>
        </w:pBdr>
        <w:tabs>
          <w:tab w:val="left" w:pos="1316"/>
        </w:tabs>
        <w:jc w:val="center"/>
        <w:rPr>
          <w:rFonts w:asciiTheme="minorHAnsi" w:eastAsia="Arial" w:hAnsiTheme="minorHAnsi" w:cstheme="minorHAnsi"/>
          <w:color w:val="28333D"/>
          <w:sz w:val="22"/>
          <w:szCs w:val="22"/>
        </w:rPr>
      </w:pPr>
      <w:bookmarkStart w:id="0" w:name="_heading=h.pwacnebje3lp" w:colFirst="0" w:colLast="0"/>
      <w:bookmarkEnd w:id="0"/>
      <w:r w:rsidRPr="00CC6070">
        <w:rPr>
          <w:rFonts w:asciiTheme="minorHAnsi" w:eastAsia="Arial" w:hAnsiTheme="minorHAnsi" w:cstheme="minorHAnsi"/>
          <w:color w:val="28333D"/>
          <w:sz w:val="22"/>
          <w:szCs w:val="22"/>
        </w:rPr>
        <w:t>Η Παλαιοντολογία ως Εργαλείο Κατανόησης της Κλιματικής Αλλαγής και Εκπαίδευσης Μαθητών</w:t>
      </w:r>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before="240" w:after="240"/>
        <w:jc w:val="both"/>
        <w:rPr>
          <w:rFonts w:asciiTheme="minorHAnsi" w:eastAsia="Arial" w:hAnsiTheme="minorHAnsi" w:cstheme="minorHAnsi"/>
          <w:color w:val="28333D"/>
        </w:rPr>
      </w:pPr>
      <w:r w:rsidRPr="00CC6070">
        <w:rPr>
          <w:rFonts w:asciiTheme="minorHAnsi" w:eastAsia="Arial" w:hAnsiTheme="minorHAnsi" w:cstheme="minorHAnsi"/>
          <w:color w:val="28333D"/>
        </w:rPr>
        <w:t xml:space="preserve">Η παλαιοντολογία, ως η επιστήμη που μελετά τα απολιθώματα και τις περιβαλλοντικές συνθήκες του παρελθόντος, αποτελεί ένα ισχυρό εργαλείο για την κατανόηση των επιπτώσεων της κλιματικής αλλαγής και την ενσωμάτωσή τους στην εκπαιδευτική διαδικασία. Μέσα από </w:t>
      </w:r>
      <w:r w:rsidRPr="00CC6070">
        <w:rPr>
          <w:rFonts w:asciiTheme="minorHAnsi" w:eastAsia="Arial" w:hAnsiTheme="minorHAnsi" w:cstheme="minorHAnsi"/>
          <w:color w:val="28333D"/>
        </w:rPr>
        <w:t>τα δεδομένα που προκύπτουν από την ανάλυση απολιθωμάτων, οι μαθητές και οι εκπαιδευτικοί μπορούν να κατανοήσουν πώς οι κλιματικές μεταβολές του παρελθόντος επηρέασαν τη βιοποικιλότητα, τα οικοσυστήματα και τη γεωγραφική κατανομή των ειδών (</w:t>
      </w:r>
      <w:proofErr w:type="spellStart"/>
      <w:r w:rsidRPr="00CC6070">
        <w:rPr>
          <w:rFonts w:asciiTheme="minorHAnsi" w:eastAsia="Arial" w:hAnsiTheme="minorHAnsi" w:cstheme="minorHAnsi"/>
          <w:color w:val="28333D"/>
        </w:rPr>
        <w:t>MacDonald</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et</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al</w:t>
      </w:r>
      <w:proofErr w:type="spellEnd"/>
      <w:r w:rsidRPr="00CC6070">
        <w:rPr>
          <w:rFonts w:asciiTheme="minorHAnsi" w:eastAsia="Arial" w:hAnsiTheme="minorHAnsi" w:cstheme="minorHAnsi"/>
          <w:color w:val="28333D"/>
        </w:rPr>
        <w:t>.</w:t>
      </w:r>
      <w:r w:rsidRPr="00CC6070">
        <w:rPr>
          <w:rFonts w:asciiTheme="minorHAnsi" w:eastAsia="Arial" w:hAnsiTheme="minorHAnsi" w:cstheme="minorHAnsi"/>
          <w:color w:val="28333D"/>
        </w:rPr>
        <w:t xml:space="preserve">, 2008; </w:t>
      </w:r>
      <w:proofErr w:type="spellStart"/>
      <w:r w:rsidRPr="00CC6070">
        <w:rPr>
          <w:rFonts w:asciiTheme="minorHAnsi" w:eastAsia="Arial" w:hAnsiTheme="minorHAnsi" w:cstheme="minorHAnsi"/>
          <w:color w:val="28333D"/>
        </w:rPr>
        <w:t>Schmidt</w:t>
      </w:r>
      <w:proofErr w:type="spellEnd"/>
      <w:r w:rsidRPr="00CC6070">
        <w:rPr>
          <w:rFonts w:asciiTheme="minorHAnsi" w:eastAsia="Arial" w:hAnsiTheme="minorHAnsi" w:cstheme="minorHAnsi"/>
          <w:color w:val="28333D"/>
        </w:rPr>
        <w:t xml:space="preserve">, 2018). Η μελέτη των προβοσκιδωτών, όπως οι </w:t>
      </w:r>
      <w:proofErr w:type="spellStart"/>
      <w:r w:rsidRPr="00CC6070">
        <w:rPr>
          <w:rFonts w:asciiTheme="minorHAnsi" w:eastAsia="Arial" w:hAnsiTheme="minorHAnsi" w:cstheme="minorHAnsi"/>
          <w:color w:val="28333D"/>
        </w:rPr>
        <w:t>μαστόδοντες</w:t>
      </w:r>
      <w:proofErr w:type="spellEnd"/>
      <w:r w:rsidRPr="00CC6070">
        <w:rPr>
          <w:rFonts w:asciiTheme="minorHAnsi" w:eastAsia="Arial" w:hAnsiTheme="minorHAnsi" w:cstheme="minorHAnsi"/>
          <w:color w:val="28333D"/>
        </w:rPr>
        <w:t xml:space="preserve"> της Νεοκαισάρειας, προσφέρει πολύτιμα δεδομένα για τη σύνδεση της παλαιοντολογίας με τις κλιματικές αλλαγές, αφού η εξερεύνηση των απολιθωμάτων τους μας δίνει μια εικόνα για τις κλιματ</w:t>
      </w:r>
      <w:r w:rsidRPr="00CC6070">
        <w:rPr>
          <w:rFonts w:asciiTheme="minorHAnsi" w:eastAsia="Arial" w:hAnsiTheme="minorHAnsi" w:cstheme="minorHAnsi"/>
          <w:color w:val="28333D"/>
        </w:rPr>
        <w:t>ικές συνθήκες και τις αλλαγές που συνέβησαν πριν από εκατομμύρια χρόνια στην περιοχή της Μακεδονίας (</w:t>
      </w:r>
      <w:proofErr w:type="spellStart"/>
      <w:r w:rsidRPr="00CC6070">
        <w:rPr>
          <w:rFonts w:asciiTheme="minorHAnsi" w:eastAsia="Arial" w:hAnsiTheme="minorHAnsi" w:cstheme="minorHAnsi"/>
          <w:color w:val="28333D"/>
        </w:rPr>
        <w:t>Konidaris</w:t>
      </w:r>
      <w:proofErr w:type="spellEnd"/>
      <w:r w:rsidRPr="00CC6070">
        <w:rPr>
          <w:rFonts w:asciiTheme="minorHAnsi" w:eastAsia="Arial" w:hAnsiTheme="minorHAnsi" w:cstheme="minorHAnsi"/>
          <w:color w:val="28333D"/>
        </w:rPr>
        <w:t xml:space="preserve"> &amp; </w:t>
      </w:r>
      <w:proofErr w:type="spellStart"/>
      <w:r w:rsidRPr="00CC6070">
        <w:rPr>
          <w:rFonts w:asciiTheme="minorHAnsi" w:eastAsia="Arial" w:hAnsiTheme="minorHAnsi" w:cstheme="minorHAnsi"/>
          <w:color w:val="28333D"/>
        </w:rPr>
        <w:t>Tsoukala</w:t>
      </w:r>
      <w:proofErr w:type="spellEnd"/>
      <w:r w:rsidRPr="00CC6070">
        <w:rPr>
          <w:rFonts w:asciiTheme="minorHAnsi" w:eastAsia="Arial" w:hAnsiTheme="minorHAnsi" w:cstheme="minorHAnsi"/>
          <w:color w:val="28333D"/>
        </w:rPr>
        <w:t>, 2020).</w:t>
      </w:r>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before="240" w:after="240"/>
        <w:jc w:val="both"/>
        <w:rPr>
          <w:rFonts w:asciiTheme="minorHAnsi" w:eastAsia="Arial" w:hAnsiTheme="minorHAnsi" w:cstheme="minorHAnsi"/>
          <w:color w:val="28333D"/>
        </w:rPr>
      </w:pPr>
      <w:r w:rsidRPr="00CC6070">
        <w:rPr>
          <w:rFonts w:asciiTheme="minorHAnsi" w:eastAsia="Arial" w:hAnsiTheme="minorHAnsi" w:cstheme="minorHAnsi"/>
          <w:color w:val="28333D"/>
        </w:rPr>
        <w:t>Οι επιστημονικές μέθοδοι, όπως η χρήση γεωχημικών δεικτών και η ανάλυση DNA από απολιθώματα, προσφέρουν ακριβέστερη ανακατασκε</w:t>
      </w:r>
      <w:r w:rsidRPr="00CC6070">
        <w:rPr>
          <w:rFonts w:asciiTheme="minorHAnsi" w:eastAsia="Arial" w:hAnsiTheme="minorHAnsi" w:cstheme="minorHAnsi"/>
          <w:color w:val="28333D"/>
        </w:rPr>
        <w:t>υή παλαιών οικοσυστημάτων και βοηθούν στη διερεύνηση των αντιδράσεων των ειδών σε κλιματικές αλλαγές (</w:t>
      </w:r>
      <w:proofErr w:type="spellStart"/>
      <w:r w:rsidRPr="00CC6070">
        <w:rPr>
          <w:rFonts w:asciiTheme="minorHAnsi" w:eastAsia="Arial" w:hAnsiTheme="minorHAnsi" w:cstheme="minorHAnsi"/>
          <w:color w:val="28333D"/>
        </w:rPr>
        <w:t>Fordham</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et</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al</w:t>
      </w:r>
      <w:proofErr w:type="spellEnd"/>
      <w:r w:rsidRPr="00CC6070">
        <w:rPr>
          <w:rFonts w:asciiTheme="minorHAnsi" w:eastAsia="Arial" w:hAnsiTheme="minorHAnsi" w:cstheme="minorHAnsi"/>
          <w:color w:val="28333D"/>
        </w:rPr>
        <w:t xml:space="preserve">., 2017; </w:t>
      </w:r>
      <w:proofErr w:type="spellStart"/>
      <w:r w:rsidRPr="00CC6070">
        <w:rPr>
          <w:rFonts w:asciiTheme="minorHAnsi" w:eastAsia="Arial" w:hAnsiTheme="minorHAnsi" w:cstheme="minorHAnsi"/>
          <w:color w:val="28333D"/>
        </w:rPr>
        <w:t>Fordham</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et</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al</w:t>
      </w:r>
      <w:proofErr w:type="spellEnd"/>
      <w:r w:rsidRPr="00CC6070">
        <w:rPr>
          <w:rFonts w:asciiTheme="minorHAnsi" w:eastAsia="Arial" w:hAnsiTheme="minorHAnsi" w:cstheme="minorHAnsi"/>
          <w:color w:val="28333D"/>
        </w:rPr>
        <w:t>., 2020). Τα απολιθώματα παρέχουν δεδομένα ζωτικής σημασίας για την κατανόηση των αλλαγών στη βιοποικιλότητα, όπως οι μ</w:t>
      </w:r>
      <w:r w:rsidRPr="00CC6070">
        <w:rPr>
          <w:rFonts w:asciiTheme="minorHAnsi" w:eastAsia="Arial" w:hAnsiTheme="minorHAnsi" w:cstheme="minorHAnsi"/>
          <w:color w:val="28333D"/>
        </w:rPr>
        <w:t>εταβολές στη γενετική δομή και οι προσαρμογές των πληθυσμών κατά τις κλιματικές κρίσεις, στοιχεία που είναι πολύτιμα για την πρόβλεψη των μελλοντικών επιπτώσεων (</w:t>
      </w:r>
      <w:proofErr w:type="spellStart"/>
      <w:r w:rsidRPr="00CC6070">
        <w:rPr>
          <w:rFonts w:asciiTheme="minorHAnsi" w:eastAsia="Arial" w:hAnsiTheme="minorHAnsi" w:cstheme="minorHAnsi"/>
          <w:color w:val="28333D"/>
        </w:rPr>
        <w:t>Gibbons</w:t>
      </w:r>
      <w:proofErr w:type="spellEnd"/>
      <w:r w:rsidRPr="00CC6070">
        <w:rPr>
          <w:rFonts w:asciiTheme="minorHAnsi" w:eastAsia="Arial" w:hAnsiTheme="minorHAnsi" w:cstheme="minorHAnsi"/>
          <w:color w:val="28333D"/>
        </w:rPr>
        <w:t xml:space="preserve">, 2010; </w:t>
      </w:r>
      <w:proofErr w:type="spellStart"/>
      <w:r w:rsidRPr="00CC6070">
        <w:rPr>
          <w:rFonts w:asciiTheme="minorHAnsi" w:eastAsia="Arial" w:hAnsiTheme="minorHAnsi" w:cstheme="minorHAnsi"/>
          <w:color w:val="28333D"/>
        </w:rPr>
        <w:t>Schmidt</w:t>
      </w:r>
      <w:proofErr w:type="spellEnd"/>
      <w:r w:rsidRPr="00CC6070">
        <w:rPr>
          <w:rFonts w:asciiTheme="minorHAnsi" w:eastAsia="Arial" w:hAnsiTheme="minorHAnsi" w:cstheme="minorHAnsi"/>
          <w:color w:val="28333D"/>
        </w:rPr>
        <w:t>, 2018). Οι ανακαλύψεις στην περιοχή της Νεοκαισάρειας, όπως τα ευρήματα</w:t>
      </w:r>
      <w:r w:rsidRPr="00CC6070">
        <w:rPr>
          <w:rFonts w:asciiTheme="minorHAnsi" w:eastAsia="Arial" w:hAnsiTheme="minorHAnsi" w:cstheme="minorHAnsi"/>
          <w:color w:val="28333D"/>
        </w:rPr>
        <w:t xml:space="preserve"> από τους </w:t>
      </w:r>
      <w:proofErr w:type="spellStart"/>
      <w:r w:rsidRPr="00CC6070">
        <w:rPr>
          <w:rFonts w:asciiTheme="minorHAnsi" w:eastAsia="Arial" w:hAnsiTheme="minorHAnsi" w:cstheme="minorHAnsi"/>
          <w:color w:val="28333D"/>
        </w:rPr>
        <w:t>μαστόδοντες</w:t>
      </w:r>
      <w:proofErr w:type="spellEnd"/>
      <w:r w:rsidRPr="00CC6070">
        <w:rPr>
          <w:rFonts w:asciiTheme="minorHAnsi" w:eastAsia="Arial" w:hAnsiTheme="minorHAnsi" w:cstheme="minorHAnsi"/>
          <w:color w:val="28333D"/>
        </w:rPr>
        <w:t xml:space="preserve"> και οι χαυλιόδοντες τους, καταδεικνύουν τις μακροχρόνιες κλιματικές μεταβολές που συνέβησαν στην περιοχή και πώς αυτές σχετίζονται με τις περιβαλλοντικές συνθήκες που προκάλεσαν τη σταδιακή εξαφάνιση αυτών των ζώων (</w:t>
      </w:r>
      <w:proofErr w:type="spellStart"/>
      <w:r w:rsidRPr="00CC6070">
        <w:rPr>
          <w:rFonts w:asciiTheme="minorHAnsi" w:eastAsia="Arial" w:hAnsiTheme="minorHAnsi" w:cstheme="minorHAnsi"/>
          <w:color w:val="28333D"/>
        </w:rPr>
        <w:t>Konidaris</w:t>
      </w:r>
      <w:proofErr w:type="spellEnd"/>
      <w:r w:rsidRPr="00CC6070">
        <w:rPr>
          <w:rFonts w:asciiTheme="minorHAnsi" w:eastAsia="Arial" w:hAnsiTheme="minorHAnsi" w:cstheme="minorHAnsi"/>
          <w:color w:val="28333D"/>
        </w:rPr>
        <w:t xml:space="preserve"> &amp; </w:t>
      </w:r>
      <w:proofErr w:type="spellStart"/>
      <w:r w:rsidRPr="00CC6070">
        <w:rPr>
          <w:rFonts w:asciiTheme="minorHAnsi" w:eastAsia="Arial" w:hAnsiTheme="minorHAnsi" w:cstheme="minorHAnsi"/>
          <w:color w:val="28333D"/>
        </w:rPr>
        <w:t>Tsouka</w:t>
      </w:r>
      <w:r w:rsidRPr="00CC6070">
        <w:rPr>
          <w:rFonts w:asciiTheme="minorHAnsi" w:eastAsia="Arial" w:hAnsiTheme="minorHAnsi" w:cstheme="minorHAnsi"/>
          <w:color w:val="28333D"/>
        </w:rPr>
        <w:t>la</w:t>
      </w:r>
      <w:proofErr w:type="spellEnd"/>
      <w:r w:rsidRPr="00CC6070">
        <w:rPr>
          <w:rFonts w:asciiTheme="minorHAnsi" w:eastAsia="Arial" w:hAnsiTheme="minorHAnsi" w:cstheme="minorHAnsi"/>
          <w:color w:val="28333D"/>
        </w:rPr>
        <w:t>, 2020).</w:t>
      </w:r>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before="240" w:after="240"/>
        <w:jc w:val="both"/>
        <w:rPr>
          <w:rFonts w:asciiTheme="minorHAnsi" w:eastAsia="Arial" w:hAnsiTheme="minorHAnsi" w:cstheme="minorHAnsi"/>
          <w:color w:val="28333D"/>
        </w:rPr>
      </w:pPr>
      <w:r w:rsidRPr="00CC6070">
        <w:rPr>
          <w:rFonts w:asciiTheme="minorHAnsi" w:eastAsia="Arial" w:hAnsiTheme="minorHAnsi" w:cstheme="minorHAnsi"/>
          <w:color w:val="28333D"/>
        </w:rPr>
        <w:t xml:space="preserve">Η παλαιοντολογία συνδέεται άμεσα με την εκπαίδευση, καθώς δίνει τη δυνατότητα στους μαθητές να κατανοήσουν τη σχέση μεταξύ φυσικών φαινομένων και της ανθρώπινης δραστηριότητας. Εμπειρικές δραστηριότητες, όπως η μελέτη απολιθωμάτων, η δημιουργία </w:t>
      </w:r>
      <w:r w:rsidRPr="00CC6070">
        <w:rPr>
          <w:rFonts w:asciiTheme="minorHAnsi" w:eastAsia="Arial" w:hAnsiTheme="minorHAnsi" w:cstheme="minorHAnsi"/>
          <w:color w:val="28333D"/>
        </w:rPr>
        <w:t>μακετών και η προσομοίωση ανασκαφών, ενθαρρύνουν τη συμμετοχή, τη σκέψη και τη δημιουργικότητα των μαθητών (</w:t>
      </w:r>
      <w:proofErr w:type="spellStart"/>
      <w:r w:rsidRPr="00CC6070">
        <w:rPr>
          <w:rFonts w:asciiTheme="minorHAnsi" w:eastAsia="Arial" w:hAnsiTheme="minorHAnsi" w:cstheme="minorHAnsi"/>
          <w:color w:val="28333D"/>
        </w:rPr>
        <w:t>Karpudewan</w:t>
      </w:r>
      <w:proofErr w:type="spellEnd"/>
      <w:r w:rsidRPr="00CC6070">
        <w:rPr>
          <w:rFonts w:asciiTheme="minorHAnsi" w:eastAsia="Arial" w:hAnsiTheme="minorHAnsi" w:cstheme="minorHAnsi"/>
          <w:color w:val="28333D"/>
        </w:rPr>
        <w:t xml:space="preserve"> &amp; </w:t>
      </w:r>
      <w:proofErr w:type="spellStart"/>
      <w:r w:rsidRPr="00CC6070">
        <w:rPr>
          <w:rFonts w:asciiTheme="minorHAnsi" w:eastAsia="Arial" w:hAnsiTheme="minorHAnsi" w:cstheme="minorHAnsi"/>
          <w:color w:val="28333D"/>
        </w:rPr>
        <w:t>Khan</w:t>
      </w:r>
      <w:proofErr w:type="spellEnd"/>
      <w:r w:rsidRPr="00CC6070">
        <w:rPr>
          <w:rFonts w:asciiTheme="minorHAnsi" w:eastAsia="Arial" w:hAnsiTheme="minorHAnsi" w:cstheme="minorHAnsi"/>
          <w:color w:val="28333D"/>
        </w:rPr>
        <w:t xml:space="preserve">, 2017). Μέσα από τέτοιες δραστηριότητες, οι μαθητές κατανοούν καλύτερα τη διαδικασία των κλιματικών αλλαγών και την ανάγκη δράσης </w:t>
      </w:r>
      <w:r w:rsidRPr="00CC6070">
        <w:rPr>
          <w:rFonts w:asciiTheme="minorHAnsi" w:eastAsia="Arial" w:hAnsiTheme="minorHAnsi" w:cstheme="minorHAnsi"/>
          <w:color w:val="28333D"/>
        </w:rPr>
        <w:t>για την προστασία του περιβάλλοντος. Ειδικότερα, η μελέτη των μαστόδοντων της Νεοκαισάρειας, και η αξιοποίηση του εκπαιδευτικού υλικού γύρω από την ανασκαφή και την έκθεση τους, επιτρέπει στους μαθητές να κατανοήσουν τις συνθήκες που επικρατούσαν στο παρελ</w:t>
      </w:r>
      <w:r w:rsidRPr="00CC6070">
        <w:rPr>
          <w:rFonts w:asciiTheme="minorHAnsi" w:eastAsia="Arial" w:hAnsiTheme="minorHAnsi" w:cstheme="minorHAnsi"/>
          <w:color w:val="28333D"/>
        </w:rPr>
        <w:t>θόν και να συνδέσουν τη διάσωση αυτών των απολιθωμάτων με την ανάγκη προστασίας της πολιτιστικής κληρονομιάς σήμερα (</w:t>
      </w:r>
      <w:proofErr w:type="spellStart"/>
      <w:r w:rsidRPr="00CC6070">
        <w:rPr>
          <w:rFonts w:asciiTheme="minorHAnsi" w:eastAsia="Arial" w:hAnsiTheme="minorHAnsi" w:cstheme="minorHAnsi"/>
          <w:color w:val="28333D"/>
        </w:rPr>
        <w:t>Mol</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et</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al</w:t>
      </w:r>
      <w:proofErr w:type="spellEnd"/>
      <w:r w:rsidRPr="00CC6070">
        <w:rPr>
          <w:rFonts w:asciiTheme="minorHAnsi" w:eastAsia="Arial" w:hAnsiTheme="minorHAnsi" w:cstheme="minorHAnsi"/>
          <w:color w:val="28333D"/>
        </w:rPr>
        <w:t>., 2024).</w:t>
      </w:r>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before="240" w:after="240"/>
        <w:jc w:val="both"/>
        <w:rPr>
          <w:rFonts w:asciiTheme="minorHAnsi" w:eastAsia="Arial" w:hAnsiTheme="minorHAnsi" w:cstheme="minorHAnsi"/>
          <w:color w:val="28333D"/>
        </w:rPr>
      </w:pPr>
      <w:r w:rsidRPr="00CC6070">
        <w:rPr>
          <w:rFonts w:asciiTheme="minorHAnsi" w:eastAsia="Arial" w:hAnsiTheme="minorHAnsi" w:cstheme="minorHAnsi"/>
          <w:color w:val="28333D"/>
        </w:rPr>
        <w:t>Η ενσωμάτωση της κλιματικής αλλαγής στο εκπαιδευτικό πρόγραμμα, μέσω της παλαιοντολογίας, αυξάνει τη γνώση και την ευαισ</w:t>
      </w:r>
      <w:r w:rsidRPr="00CC6070">
        <w:rPr>
          <w:rFonts w:asciiTheme="minorHAnsi" w:eastAsia="Arial" w:hAnsiTheme="minorHAnsi" w:cstheme="minorHAnsi"/>
          <w:color w:val="28333D"/>
        </w:rPr>
        <w:t>θητοποίηση των μαθητών. Η διδασκαλία των προσωπικών σχετικών πληροφοριών, όπως οι αλλαγές στα οικοσυστήματα της τοπικής τους περιοχής, ενισχύει τη σύνδεσή τους με το θέμα και αυξάνει την εμπλοκή τους (</w:t>
      </w:r>
      <w:proofErr w:type="spellStart"/>
      <w:r w:rsidRPr="00CC6070">
        <w:rPr>
          <w:rFonts w:asciiTheme="minorHAnsi" w:eastAsia="Arial" w:hAnsiTheme="minorHAnsi" w:cstheme="minorHAnsi"/>
          <w:color w:val="28333D"/>
        </w:rPr>
        <w:t>Monroe</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et</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al</w:t>
      </w:r>
      <w:proofErr w:type="spellEnd"/>
      <w:r w:rsidRPr="00CC6070">
        <w:rPr>
          <w:rFonts w:asciiTheme="minorHAnsi" w:eastAsia="Arial" w:hAnsiTheme="minorHAnsi" w:cstheme="minorHAnsi"/>
          <w:color w:val="28333D"/>
        </w:rPr>
        <w:t>., 2019). Παράλληλα, συνεργασίες με επιστήμ</w:t>
      </w:r>
      <w:r w:rsidRPr="00CC6070">
        <w:rPr>
          <w:rFonts w:asciiTheme="minorHAnsi" w:eastAsia="Arial" w:hAnsiTheme="minorHAnsi" w:cstheme="minorHAnsi"/>
          <w:color w:val="28333D"/>
        </w:rPr>
        <w:t>ονες και συμμετοχή σε σχολικά ή κοινοτικά έργα βοηθούν τους μαθητές να αποκτήσουν πρακτικές δεξιότητες και να αναλάβουν ενεργό ρόλο στην προστασία του περιβάλλοντος (</w:t>
      </w:r>
      <w:proofErr w:type="spellStart"/>
      <w:r w:rsidRPr="00CC6070">
        <w:rPr>
          <w:rFonts w:asciiTheme="minorHAnsi" w:eastAsia="Arial" w:hAnsiTheme="minorHAnsi" w:cstheme="minorHAnsi"/>
          <w:color w:val="28333D"/>
        </w:rPr>
        <w:t>Monroe</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et</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al</w:t>
      </w:r>
      <w:proofErr w:type="spellEnd"/>
      <w:r w:rsidRPr="00CC6070">
        <w:rPr>
          <w:rFonts w:asciiTheme="minorHAnsi" w:eastAsia="Arial" w:hAnsiTheme="minorHAnsi" w:cstheme="minorHAnsi"/>
          <w:color w:val="28333D"/>
        </w:rPr>
        <w:t>., 2019).</w:t>
      </w:r>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before="240" w:after="240"/>
        <w:jc w:val="both"/>
        <w:rPr>
          <w:rFonts w:asciiTheme="minorHAnsi" w:eastAsia="Arial" w:hAnsiTheme="minorHAnsi" w:cstheme="minorHAnsi"/>
          <w:color w:val="28333D"/>
        </w:rPr>
      </w:pPr>
      <w:r w:rsidRPr="00CC6070">
        <w:rPr>
          <w:rFonts w:asciiTheme="minorHAnsi" w:eastAsia="Arial" w:hAnsiTheme="minorHAnsi" w:cstheme="minorHAnsi"/>
          <w:color w:val="28333D"/>
        </w:rPr>
        <w:t>Τέλος, η σύνδεση της παλαιοντολογίας με την κλιματική εκπαίδευση ανα</w:t>
      </w:r>
      <w:r w:rsidRPr="00CC6070">
        <w:rPr>
          <w:rFonts w:asciiTheme="minorHAnsi" w:eastAsia="Arial" w:hAnsiTheme="minorHAnsi" w:cstheme="minorHAnsi"/>
          <w:color w:val="28333D"/>
        </w:rPr>
        <w:t>δεικνύει τη σημασία της δράσης για τη διατήρηση της φυσικής ιστορίας και την προστασία του πλανήτη. Μέσω βιωματικών εργαστηρίων, ομαδικών έργων και συζητήσεων, οι μαθητές καλλιεργούν μια βαθιά κατανόηση των περιβαλλοντικών προκλήσεων και αποκτούν τα εργαλε</w:t>
      </w:r>
      <w:r w:rsidRPr="00CC6070">
        <w:rPr>
          <w:rFonts w:asciiTheme="minorHAnsi" w:eastAsia="Arial" w:hAnsiTheme="minorHAnsi" w:cstheme="minorHAnsi"/>
          <w:color w:val="28333D"/>
        </w:rPr>
        <w:t>ία για να συμβάλλουν ενεργά στη βιωσιμότητα (</w:t>
      </w:r>
      <w:proofErr w:type="spellStart"/>
      <w:r w:rsidRPr="00CC6070">
        <w:rPr>
          <w:rFonts w:asciiTheme="minorHAnsi" w:eastAsia="Arial" w:hAnsiTheme="minorHAnsi" w:cstheme="minorHAnsi"/>
          <w:color w:val="28333D"/>
        </w:rPr>
        <w:t>Mol</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et</w:t>
      </w:r>
      <w:proofErr w:type="spellEnd"/>
      <w:r w:rsidRPr="00CC6070">
        <w:rPr>
          <w:rFonts w:asciiTheme="minorHAnsi" w:eastAsia="Arial" w:hAnsiTheme="minorHAnsi" w:cstheme="minorHAnsi"/>
          <w:color w:val="28333D"/>
        </w:rPr>
        <w:t xml:space="preserve"> </w:t>
      </w:r>
      <w:proofErr w:type="spellStart"/>
      <w:r w:rsidRPr="00CC6070">
        <w:rPr>
          <w:rFonts w:asciiTheme="minorHAnsi" w:eastAsia="Arial" w:hAnsiTheme="minorHAnsi" w:cstheme="minorHAnsi"/>
          <w:color w:val="28333D"/>
        </w:rPr>
        <w:t>al</w:t>
      </w:r>
      <w:proofErr w:type="spellEnd"/>
      <w:r w:rsidRPr="00CC6070">
        <w:rPr>
          <w:rFonts w:asciiTheme="minorHAnsi" w:eastAsia="Arial" w:hAnsiTheme="minorHAnsi" w:cstheme="minorHAnsi"/>
          <w:color w:val="28333D"/>
        </w:rPr>
        <w:t>., 2024).</w:t>
      </w:r>
    </w:p>
    <w:p w:rsidR="00386404" w:rsidRPr="00CC6070" w:rsidRDefault="00386404">
      <w:pPr>
        <w:pBdr>
          <w:top w:val="none" w:sz="0" w:space="0" w:color="DEE0E3"/>
          <w:left w:val="none" w:sz="0" w:space="0" w:color="DEE0E3"/>
          <w:bottom w:val="none" w:sz="0" w:space="0" w:color="DEE0E3"/>
          <w:right w:val="none" w:sz="0" w:space="0" w:color="DEE0E3"/>
          <w:between w:val="none" w:sz="0" w:space="0" w:color="DEE0E3"/>
        </w:pBdr>
        <w:tabs>
          <w:tab w:val="left" w:pos="1316"/>
        </w:tabs>
        <w:spacing w:before="240" w:after="240"/>
        <w:jc w:val="both"/>
        <w:rPr>
          <w:rFonts w:asciiTheme="minorHAnsi" w:eastAsia="Arial" w:hAnsiTheme="minorHAnsi" w:cstheme="minorHAnsi"/>
          <w:color w:val="28333D"/>
        </w:rPr>
      </w:pPr>
    </w:p>
    <w:p w:rsidR="00386404" w:rsidRPr="00CC6070" w:rsidRDefault="00386404">
      <w:pPr>
        <w:pBdr>
          <w:top w:val="none" w:sz="0" w:space="0" w:color="DEE0E3"/>
          <w:left w:val="none" w:sz="0" w:space="0" w:color="DEE0E3"/>
          <w:bottom w:val="none" w:sz="0" w:space="0" w:color="DEE0E3"/>
          <w:right w:val="none" w:sz="0" w:space="0" w:color="DEE0E3"/>
          <w:between w:val="none" w:sz="0" w:space="0" w:color="DEE0E3"/>
        </w:pBdr>
        <w:tabs>
          <w:tab w:val="left" w:pos="1316"/>
        </w:tabs>
        <w:spacing w:after="180"/>
        <w:jc w:val="both"/>
        <w:rPr>
          <w:rFonts w:asciiTheme="minorHAnsi" w:eastAsia="Arial" w:hAnsiTheme="minorHAnsi" w:cstheme="minorHAnsi"/>
          <w:b/>
          <w:color w:val="28333D"/>
        </w:rPr>
      </w:pPr>
    </w:p>
    <w:p w:rsidR="00386404" w:rsidRPr="00CC6070" w:rsidRDefault="0036485C">
      <w:pPr>
        <w:pStyle w:val="3"/>
        <w:keepNext w:val="0"/>
        <w:keepLines w:val="0"/>
        <w:pBdr>
          <w:top w:val="none" w:sz="0" w:space="0" w:color="DEE0E3"/>
          <w:left w:val="none" w:sz="0" w:space="0" w:color="DEE0E3"/>
          <w:bottom w:val="none" w:sz="0" w:space="0" w:color="DEE0E3"/>
          <w:right w:val="none" w:sz="0" w:space="0" w:color="DEE0E3"/>
          <w:between w:val="none" w:sz="0" w:space="0" w:color="DEE0E3"/>
        </w:pBdr>
        <w:tabs>
          <w:tab w:val="left" w:pos="1316"/>
        </w:tabs>
        <w:spacing w:line="332" w:lineRule="auto"/>
        <w:jc w:val="both"/>
        <w:rPr>
          <w:rFonts w:asciiTheme="minorHAnsi" w:eastAsia="Arial" w:hAnsiTheme="minorHAnsi" w:cstheme="minorHAnsi"/>
          <w:color w:val="28333D"/>
          <w:sz w:val="22"/>
          <w:szCs w:val="22"/>
        </w:rPr>
      </w:pPr>
      <w:bookmarkStart w:id="1" w:name="_heading=h.2kltkgow5f5n" w:colFirst="0" w:colLast="0"/>
      <w:bookmarkEnd w:id="1"/>
      <w:r w:rsidRPr="00CC6070">
        <w:rPr>
          <w:rFonts w:asciiTheme="minorHAnsi" w:eastAsia="Arial" w:hAnsiTheme="minorHAnsi" w:cstheme="minorHAnsi"/>
          <w:color w:val="28333D"/>
          <w:sz w:val="22"/>
          <w:szCs w:val="22"/>
        </w:rPr>
        <w:t>Βιβλιογραφικές Αναφορές:</w:t>
      </w:r>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after="180"/>
        <w:ind w:left="1133" w:hanging="1133"/>
        <w:jc w:val="both"/>
        <w:rPr>
          <w:rFonts w:asciiTheme="minorHAnsi" w:eastAsia="Arial" w:hAnsiTheme="minorHAnsi" w:cstheme="minorHAnsi"/>
          <w:color w:val="1155CC"/>
          <w:u w:val="single"/>
          <w:lang w:val="en-US"/>
        </w:rPr>
      </w:pPr>
      <w:proofErr w:type="spellStart"/>
      <w:r w:rsidRPr="00CC6070">
        <w:rPr>
          <w:rFonts w:asciiTheme="minorHAnsi" w:eastAsia="Arial" w:hAnsiTheme="minorHAnsi" w:cstheme="minorHAnsi"/>
          <w:color w:val="28333D"/>
        </w:rPr>
        <w:t>MacDonald</w:t>
      </w:r>
      <w:proofErr w:type="spellEnd"/>
      <w:r w:rsidRPr="00CC6070">
        <w:rPr>
          <w:rFonts w:asciiTheme="minorHAnsi" w:eastAsia="Arial" w:hAnsiTheme="minorHAnsi" w:cstheme="minorHAnsi"/>
          <w:color w:val="28333D"/>
        </w:rPr>
        <w:t xml:space="preserve">, G., </w:t>
      </w:r>
      <w:proofErr w:type="spellStart"/>
      <w:r w:rsidRPr="00CC6070">
        <w:rPr>
          <w:rFonts w:asciiTheme="minorHAnsi" w:eastAsia="Arial" w:hAnsiTheme="minorHAnsi" w:cstheme="minorHAnsi"/>
          <w:color w:val="28333D"/>
        </w:rPr>
        <w:t>Bennett</w:t>
      </w:r>
      <w:proofErr w:type="spellEnd"/>
      <w:r w:rsidRPr="00CC6070">
        <w:rPr>
          <w:rFonts w:asciiTheme="minorHAnsi" w:eastAsia="Arial" w:hAnsiTheme="minorHAnsi" w:cstheme="minorHAnsi"/>
          <w:color w:val="28333D"/>
        </w:rPr>
        <w:t xml:space="preserve">, K., </w:t>
      </w:r>
      <w:proofErr w:type="spellStart"/>
      <w:r w:rsidRPr="00CC6070">
        <w:rPr>
          <w:rFonts w:asciiTheme="minorHAnsi" w:eastAsia="Arial" w:hAnsiTheme="minorHAnsi" w:cstheme="minorHAnsi"/>
          <w:color w:val="28333D"/>
        </w:rPr>
        <w:t>Jackson</w:t>
      </w:r>
      <w:proofErr w:type="spellEnd"/>
      <w:r w:rsidRPr="00CC6070">
        <w:rPr>
          <w:rFonts w:asciiTheme="minorHAnsi" w:eastAsia="Arial" w:hAnsiTheme="minorHAnsi" w:cstheme="minorHAnsi"/>
          <w:color w:val="28333D"/>
        </w:rPr>
        <w:t xml:space="preserve">, S., </w:t>
      </w:r>
      <w:proofErr w:type="spellStart"/>
      <w:r w:rsidRPr="00CC6070">
        <w:rPr>
          <w:rFonts w:asciiTheme="minorHAnsi" w:eastAsia="Arial" w:hAnsiTheme="minorHAnsi" w:cstheme="minorHAnsi"/>
          <w:color w:val="28333D"/>
        </w:rPr>
        <w:t>Parducci</w:t>
      </w:r>
      <w:proofErr w:type="spellEnd"/>
      <w:r w:rsidRPr="00CC6070">
        <w:rPr>
          <w:rFonts w:asciiTheme="minorHAnsi" w:eastAsia="Arial" w:hAnsiTheme="minorHAnsi" w:cstheme="minorHAnsi"/>
          <w:color w:val="28333D"/>
        </w:rPr>
        <w:t xml:space="preserve">, L., </w:t>
      </w:r>
      <w:proofErr w:type="spellStart"/>
      <w:r w:rsidRPr="00CC6070">
        <w:rPr>
          <w:rFonts w:asciiTheme="minorHAnsi" w:eastAsia="Arial" w:hAnsiTheme="minorHAnsi" w:cstheme="minorHAnsi"/>
          <w:color w:val="28333D"/>
        </w:rPr>
        <w:t>Smith</w:t>
      </w:r>
      <w:proofErr w:type="spellEnd"/>
      <w:r w:rsidRPr="00CC6070">
        <w:rPr>
          <w:rFonts w:asciiTheme="minorHAnsi" w:eastAsia="Arial" w:hAnsiTheme="minorHAnsi" w:cstheme="minorHAnsi"/>
          <w:color w:val="28333D"/>
        </w:rPr>
        <w:t xml:space="preserve">, F., </w:t>
      </w:r>
      <w:proofErr w:type="spellStart"/>
      <w:r w:rsidRPr="00CC6070">
        <w:rPr>
          <w:rFonts w:asciiTheme="minorHAnsi" w:eastAsia="Arial" w:hAnsiTheme="minorHAnsi" w:cstheme="minorHAnsi"/>
          <w:color w:val="28333D"/>
        </w:rPr>
        <w:t>Smol</w:t>
      </w:r>
      <w:proofErr w:type="spellEnd"/>
      <w:r w:rsidRPr="00CC6070">
        <w:rPr>
          <w:rFonts w:asciiTheme="minorHAnsi" w:eastAsia="Arial" w:hAnsiTheme="minorHAnsi" w:cstheme="minorHAnsi"/>
          <w:color w:val="28333D"/>
        </w:rPr>
        <w:t xml:space="preserve">, J., &amp; </w:t>
      </w:r>
      <w:proofErr w:type="spellStart"/>
      <w:r w:rsidRPr="00CC6070">
        <w:rPr>
          <w:rFonts w:asciiTheme="minorHAnsi" w:eastAsia="Arial" w:hAnsiTheme="minorHAnsi" w:cstheme="minorHAnsi"/>
          <w:color w:val="28333D"/>
        </w:rPr>
        <w:t>Willis</w:t>
      </w:r>
      <w:proofErr w:type="spellEnd"/>
      <w:r w:rsidRPr="00CC6070">
        <w:rPr>
          <w:rFonts w:asciiTheme="minorHAnsi" w:eastAsia="Arial" w:hAnsiTheme="minorHAnsi" w:cstheme="minorHAnsi"/>
          <w:color w:val="28333D"/>
        </w:rPr>
        <w:t xml:space="preserve">, K. (2008). </w:t>
      </w:r>
      <w:r w:rsidRPr="00CC6070">
        <w:rPr>
          <w:rFonts w:asciiTheme="minorHAnsi" w:eastAsia="Arial" w:hAnsiTheme="minorHAnsi" w:cstheme="minorHAnsi"/>
          <w:color w:val="28333D"/>
          <w:lang w:val="en-US"/>
        </w:rPr>
        <w:t xml:space="preserve">Impacts of climate change on species, populations and communities: </w:t>
      </w:r>
      <w:proofErr w:type="spellStart"/>
      <w:r w:rsidRPr="00CC6070">
        <w:rPr>
          <w:rFonts w:asciiTheme="minorHAnsi" w:eastAsia="Arial" w:hAnsiTheme="minorHAnsi" w:cstheme="minorHAnsi"/>
          <w:color w:val="28333D"/>
          <w:lang w:val="en-US"/>
        </w:rPr>
        <w:t>palaeobiogeographical</w:t>
      </w:r>
      <w:proofErr w:type="spellEnd"/>
      <w:r w:rsidRPr="00CC6070">
        <w:rPr>
          <w:rFonts w:asciiTheme="minorHAnsi" w:eastAsia="Arial" w:hAnsiTheme="minorHAnsi" w:cstheme="minorHAnsi"/>
          <w:color w:val="28333D"/>
          <w:lang w:val="en-US"/>
        </w:rPr>
        <w:t xml:space="preserve"> insights and frontiers. </w:t>
      </w:r>
      <w:r w:rsidRPr="00CC6070">
        <w:rPr>
          <w:rFonts w:asciiTheme="minorHAnsi" w:eastAsia="Arial" w:hAnsiTheme="minorHAnsi" w:cstheme="minorHAnsi"/>
          <w:i/>
          <w:color w:val="28333D"/>
          <w:lang w:val="en-US"/>
        </w:rPr>
        <w:t>Progress in Physical Geography</w:t>
      </w:r>
      <w:r w:rsidRPr="00CC6070">
        <w:rPr>
          <w:rFonts w:asciiTheme="minorHAnsi" w:eastAsia="Arial" w:hAnsiTheme="minorHAnsi" w:cstheme="minorHAnsi"/>
          <w:color w:val="28333D"/>
          <w:lang w:val="en-US"/>
        </w:rPr>
        <w:t xml:space="preserve">, 32, 139 - 172. </w:t>
      </w:r>
      <w:hyperlink r:id="rId7">
        <w:r w:rsidRPr="00CC6070">
          <w:rPr>
            <w:rFonts w:asciiTheme="minorHAnsi" w:eastAsia="Arial" w:hAnsiTheme="minorHAnsi" w:cstheme="minorHAnsi"/>
            <w:color w:val="1155CC"/>
            <w:u w:val="single"/>
            <w:lang w:val="en-US"/>
          </w:rPr>
          <w:t>https://doi.org/10.1177/03091333080940</w:t>
        </w:r>
        <w:r w:rsidRPr="00CC6070">
          <w:rPr>
            <w:rFonts w:asciiTheme="minorHAnsi" w:eastAsia="Arial" w:hAnsiTheme="minorHAnsi" w:cstheme="minorHAnsi"/>
            <w:color w:val="1155CC"/>
            <w:u w:val="single"/>
            <w:lang w:val="en-US"/>
          </w:rPr>
          <w:t>81</w:t>
        </w:r>
      </w:hyperlink>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after="180"/>
        <w:ind w:left="1133" w:hanging="1133"/>
        <w:jc w:val="both"/>
        <w:rPr>
          <w:rFonts w:asciiTheme="minorHAnsi" w:eastAsia="Arial" w:hAnsiTheme="minorHAnsi" w:cstheme="minorHAnsi"/>
          <w:color w:val="1155CC"/>
          <w:u w:val="single"/>
          <w:lang w:val="en-US"/>
        </w:rPr>
      </w:pPr>
      <w:r w:rsidRPr="00CC6070">
        <w:rPr>
          <w:rFonts w:asciiTheme="minorHAnsi" w:eastAsia="Arial" w:hAnsiTheme="minorHAnsi" w:cstheme="minorHAnsi"/>
          <w:color w:val="28333D"/>
          <w:lang w:val="en-US"/>
        </w:rPr>
        <w:t xml:space="preserve">Schmidt, D. (2018). </w:t>
      </w:r>
      <w:proofErr w:type="gramStart"/>
      <w:r w:rsidRPr="00CC6070">
        <w:rPr>
          <w:rFonts w:asciiTheme="minorHAnsi" w:eastAsia="Arial" w:hAnsiTheme="minorHAnsi" w:cstheme="minorHAnsi"/>
          <w:color w:val="28333D"/>
          <w:lang w:val="en-US"/>
        </w:rPr>
        <w:t xml:space="preserve">Determining climate change impacts on ecosystems: the role of </w:t>
      </w:r>
      <w:proofErr w:type="spellStart"/>
      <w:r w:rsidRPr="00CC6070">
        <w:rPr>
          <w:rFonts w:asciiTheme="minorHAnsi" w:eastAsia="Arial" w:hAnsiTheme="minorHAnsi" w:cstheme="minorHAnsi"/>
          <w:color w:val="28333D"/>
          <w:lang w:val="en-US"/>
        </w:rPr>
        <w:t>palaeontology</w:t>
      </w:r>
      <w:proofErr w:type="spellEnd"/>
      <w:r w:rsidRPr="00CC6070">
        <w:rPr>
          <w:rFonts w:asciiTheme="minorHAnsi" w:eastAsia="Arial" w:hAnsiTheme="minorHAnsi" w:cstheme="minorHAnsi"/>
          <w:color w:val="28333D"/>
          <w:lang w:val="en-US"/>
        </w:rPr>
        <w:t>.</w:t>
      </w:r>
      <w:proofErr w:type="gramEnd"/>
      <w:r w:rsidRPr="00CC6070">
        <w:rPr>
          <w:rFonts w:asciiTheme="minorHAnsi" w:eastAsia="Arial" w:hAnsiTheme="minorHAnsi" w:cstheme="minorHAnsi"/>
          <w:color w:val="28333D"/>
          <w:lang w:val="en-US"/>
        </w:rPr>
        <w:t xml:space="preserve"> </w:t>
      </w:r>
      <w:proofErr w:type="spellStart"/>
      <w:proofErr w:type="gramStart"/>
      <w:r w:rsidRPr="00CC6070">
        <w:rPr>
          <w:rFonts w:asciiTheme="minorHAnsi" w:eastAsia="Arial" w:hAnsiTheme="minorHAnsi" w:cstheme="minorHAnsi"/>
          <w:i/>
          <w:color w:val="28333D"/>
          <w:lang w:val="en-US"/>
        </w:rPr>
        <w:t>Palaeontology</w:t>
      </w:r>
      <w:proofErr w:type="spellEnd"/>
      <w:r w:rsidRPr="00CC6070">
        <w:rPr>
          <w:rFonts w:asciiTheme="minorHAnsi" w:eastAsia="Arial" w:hAnsiTheme="minorHAnsi" w:cstheme="minorHAnsi"/>
          <w:color w:val="28333D"/>
          <w:lang w:val="en-US"/>
        </w:rPr>
        <w:t xml:space="preserve"> ,</w:t>
      </w:r>
      <w:proofErr w:type="gramEnd"/>
      <w:r w:rsidRPr="00CC6070">
        <w:rPr>
          <w:rFonts w:asciiTheme="minorHAnsi" w:eastAsia="Arial" w:hAnsiTheme="minorHAnsi" w:cstheme="minorHAnsi"/>
          <w:color w:val="28333D"/>
          <w:lang w:val="en-US"/>
        </w:rPr>
        <w:t xml:space="preserve"> 61. </w:t>
      </w:r>
      <w:hyperlink r:id="rId8">
        <w:r w:rsidRPr="00CC6070">
          <w:rPr>
            <w:rFonts w:asciiTheme="minorHAnsi" w:eastAsia="Arial" w:hAnsiTheme="minorHAnsi" w:cstheme="minorHAnsi"/>
            <w:color w:val="1155CC"/>
            <w:u w:val="single"/>
            <w:lang w:val="en-US"/>
          </w:rPr>
          <w:t>https://doi.org/10.1111/pala.12335</w:t>
        </w:r>
      </w:hyperlink>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after="180"/>
        <w:ind w:left="1133" w:hanging="1133"/>
        <w:jc w:val="both"/>
        <w:rPr>
          <w:rFonts w:asciiTheme="minorHAnsi" w:eastAsia="Arial" w:hAnsiTheme="minorHAnsi" w:cstheme="minorHAnsi"/>
          <w:color w:val="1155CC"/>
          <w:u w:val="single"/>
          <w:lang w:val="en-US"/>
        </w:rPr>
      </w:pPr>
      <w:r w:rsidRPr="00CC6070">
        <w:rPr>
          <w:rFonts w:asciiTheme="minorHAnsi" w:eastAsia="Arial" w:hAnsiTheme="minorHAnsi" w:cstheme="minorHAnsi"/>
          <w:color w:val="28333D"/>
          <w:lang w:val="en-US"/>
        </w:rPr>
        <w:t xml:space="preserve">Gibbons, A. (2010). </w:t>
      </w:r>
      <w:r w:rsidRPr="00CC6070">
        <w:rPr>
          <w:rFonts w:asciiTheme="minorHAnsi" w:eastAsia="Arial" w:hAnsiTheme="minorHAnsi" w:cstheme="minorHAnsi"/>
          <w:color w:val="28333D"/>
          <w:lang w:val="en-US"/>
        </w:rPr>
        <w:t xml:space="preserve">Going Back to the Future </w:t>
      </w:r>
      <w:proofErr w:type="gramStart"/>
      <w:r w:rsidRPr="00CC6070">
        <w:rPr>
          <w:rFonts w:asciiTheme="minorHAnsi" w:eastAsia="Arial" w:hAnsiTheme="minorHAnsi" w:cstheme="minorHAnsi"/>
          <w:color w:val="28333D"/>
          <w:lang w:val="en-US"/>
        </w:rPr>
        <w:t>To</w:t>
      </w:r>
      <w:proofErr w:type="gramEnd"/>
      <w:r w:rsidRPr="00CC6070">
        <w:rPr>
          <w:rFonts w:asciiTheme="minorHAnsi" w:eastAsia="Arial" w:hAnsiTheme="minorHAnsi" w:cstheme="minorHAnsi"/>
          <w:color w:val="28333D"/>
          <w:lang w:val="en-US"/>
        </w:rPr>
        <w:t xml:space="preserve"> Understand Climate Change. </w:t>
      </w:r>
      <w:proofErr w:type="gramStart"/>
      <w:r w:rsidRPr="00CC6070">
        <w:rPr>
          <w:rFonts w:asciiTheme="minorHAnsi" w:eastAsia="Arial" w:hAnsiTheme="minorHAnsi" w:cstheme="minorHAnsi"/>
          <w:i/>
          <w:color w:val="28333D"/>
          <w:lang w:val="en-US"/>
        </w:rPr>
        <w:t>Science</w:t>
      </w:r>
      <w:r w:rsidRPr="00CC6070">
        <w:rPr>
          <w:rFonts w:asciiTheme="minorHAnsi" w:eastAsia="Arial" w:hAnsiTheme="minorHAnsi" w:cstheme="minorHAnsi"/>
          <w:color w:val="28333D"/>
          <w:lang w:val="en-US"/>
        </w:rPr>
        <w:t xml:space="preserve"> ,</w:t>
      </w:r>
      <w:proofErr w:type="gramEnd"/>
      <w:r w:rsidRPr="00CC6070">
        <w:rPr>
          <w:rFonts w:asciiTheme="minorHAnsi" w:eastAsia="Arial" w:hAnsiTheme="minorHAnsi" w:cstheme="minorHAnsi"/>
          <w:color w:val="28333D"/>
          <w:lang w:val="en-US"/>
        </w:rPr>
        <w:t xml:space="preserve"> 330 6004, 582. </w:t>
      </w:r>
      <w:hyperlink r:id="rId9">
        <w:r w:rsidRPr="00CC6070">
          <w:rPr>
            <w:rFonts w:asciiTheme="minorHAnsi" w:eastAsia="Arial" w:hAnsiTheme="minorHAnsi" w:cstheme="minorHAnsi"/>
            <w:color w:val="1155CC"/>
            <w:u w:val="single"/>
            <w:lang w:val="en-US"/>
          </w:rPr>
          <w:t>https://doi.org/10.1126/science.330.6004.582</w:t>
        </w:r>
      </w:hyperlink>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after="180"/>
        <w:ind w:left="1133" w:hanging="1133"/>
        <w:jc w:val="both"/>
        <w:rPr>
          <w:rFonts w:asciiTheme="minorHAnsi" w:eastAsia="Arial" w:hAnsiTheme="minorHAnsi" w:cstheme="minorHAnsi"/>
          <w:color w:val="1155CC"/>
          <w:u w:val="single"/>
          <w:lang w:val="en-US"/>
        </w:rPr>
      </w:pPr>
      <w:proofErr w:type="spellStart"/>
      <w:proofErr w:type="gramStart"/>
      <w:r w:rsidRPr="00CC6070">
        <w:rPr>
          <w:rFonts w:asciiTheme="minorHAnsi" w:eastAsia="Arial" w:hAnsiTheme="minorHAnsi" w:cstheme="minorHAnsi"/>
          <w:color w:val="28333D"/>
          <w:lang w:val="en-US"/>
        </w:rPr>
        <w:t>Campisano</w:t>
      </w:r>
      <w:proofErr w:type="spellEnd"/>
      <w:r w:rsidRPr="00CC6070">
        <w:rPr>
          <w:rFonts w:asciiTheme="minorHAnsi" w:eastAsia="Arial" w:hAnsiTheme="minorHAnsi" w:cstheme="minorHAnsi"/>
          <w:color w:val="28333D"/>
          <w:lang w:val="en-US"/>
        </w:rPr>
        <w:t xml:space="preserve">, C., &amp; </w:t>
      </w:r>
      <w:proofErr w:type="spellStart"/>
      <w:r w:rsidRPr="00CC6070">
        <w:rPr>
          <w:rFonts w:asciiTheme="minorHAnsi" w:eastAsia="Arial" w:hAnsiTheme="minorHAnsi" w:cstheme="minorHAnsi"/>
          <w:color w:val="28333D"/>
          <w:lang w:val="en-US"/>
        </w:rPr>
        <w:t>Feibel</w:t>
      </w:r>
      <w:proofErr w:type="spellEnd"/>
      <w:r w:rsidRPr="00CC6070">
        <w:rPr>
          <w:rFonts w:asciiTheme="minorHAnsi" w:eastAsia="Arial" w:hAnsiTheme="minorHAnsi" w:cstheme="minorHAnsi"/>
          <w:color w:val="28333D"/>
          <w:lang w:val="en-US"/>
        </w:rPr>
        <w:t>, C. (2004).</w:t>
      </w:r>
      <w:proofErr w:type="gramEnd"/>
      <w:r w:rsidRPr="00CC6070">
        <w:rPr>
          <w:rFonts w:asciiTheme="minorHAnsi" w:eastAsia="Arial" w:hAnsiTheme="minorHAnsi" w:cstheme="minorHAnsi"/>
          <w:color w:val="28333D"/>
          <w:lang w:val="en-US"/>
        </w:rPr>
        <w:t xml:space="preserve"> </w:t>
      </w:r>
      <w:proofErr w:type="gramStart"/>
      <w:r w:rsidRPr="00CC6070">
        <w:rPr>
          <w:rFonts w:asciiTheme="minorHAnsi" w:eastAsia="Arial" w:hAnsiTheme="minorHAnsi" w:cstheme="minorHAnsi"/>
          <w:color w:val="28333D"/>
          <w:lang w:val="en-US"/>
        </w:rPr>
        <w:t>Connecting local environmental se</w:t>
      </w:r>
      <w:r w:rsidRPr="00CC6070">
        <w:rPr>
          <w:rFonts w:asciiTheme="minorHAnsi" w:eastAsia="Arial" w:hAnsiTheme="minorHAnsi" w:cstheme="minorHAnsi"/>
          <w:color w:val="28333D"/>
          <w:lang w:val="en-US"/>
        </w:rPr>
        <w:t xml:space="preserve">quences to global climate patterns: evidence from the </w:t>
      </w:r>
      <w:proofErr w:type="spellStart"/>
      <w:r w:rsidRPr="00CC6070">
        <w:rPr>
          <w:rFonts w:asciiTheme="minorHAnsi" w:eastAsia="Arial" w:hAnsiTheme="minorHAnsi" w:cstheme="minorHAnsi"/>
          <w:color w:val="28333D"/>
          <w:lang w:val="en-US"/>
        </w:rPr>
        <w:t>hominin</w:t>
      </w:r>
      <w:proofErr w:type="spellEnd"/>
      <w:r w:rsidRPr="00CC6070">
        <w:rPr>
          <w:rFonts w:asciiTheme="minorHAnsi" w:eastAsia="Arial" w:hAnsiTheme="minorHAnsi" w:cstheme="minorHAnsi"/>
          <w:color w:val="28333D"/>
          <w:lang w:val="en-US"/>
        </w:rPr>
        <w:t xml:space="preserve">-bearing </w:t>
      </w:r>
      <w:proofErr w:type="spellStart"/>
      <w:r w:rsidRPr="00CC6070">
        <w:rPr>
          <w:rFonts w:asciiTheme="minorHAnsi" w:eastAsia="Arial" w:hAnsiTheme="minorHAnsi" w:cstheme="minorHAnsi"/>
          <w:color w:val="28333D"/>
          <w:lang w:val="en-US"/>
        </w:rPr>
        <w:t>Hadar</w:t>
      </w:r>
      <w:proofErr w:type="spellEnd"/>
      <w:r w:rsidRPr="00CC6070">
        <w:rPr>
          <w:rFonts w:asciiTheme="minorHAnsi" w:eastAsia="Arial" w:hAnsiTheme="minorHAnsi" w:cstheme="minorHAnsi"/>
          <w:color w:val="28333D"/>
          <w:lang w:val="en-US"/>
        </w:rPr>
        <w:t xml:space="preserve"> Formation, Ethiopia.</w:t>
      </w:r>
      <w:proofErr w:type="gramEnd"/>
      <w:r w:rsidRPr="00CC6070">
        <w:rPr>
          <w:rFonts w:asciiTheme="minorHAnsi" w:eastAsia="Arial" w:hAnsiTheme="minorHAnsi" w:cstheme="minorHAnsi"/>
          <w:color w:val="28333D"/>
          <w:lang w:val="en-US"/>
        </w:rPr>
        <w:t xml:space="preserve"> </w:t>
      </w:r>
      <w:r w:rsidRPr="00CC6070">
        <w:rPr>
          <w:rFonts w:asciiTheme="minorHAnsi" w:eastAsia="Arial" w:hAnsiTheme="minorHAnsi" w:cstheme="minorHAnsi"/>
          <w:i/>
          <w:color w:val="28333D"/>
          <w:lang w:val="en-US"/>
        </w:rPr>
        <w:t xml:space="preserve">Journal of human </w:t>
      </w:r>
      <w:proofErr w:type="gramStart"/>
      <w:r w:rsidRPr="00CC6070">
        <w:rPr>
          <w:rFonts w:asciiTheme="minorHAnsi" w:eastAsia="Arial" w:hAnsiTheme="minorHAnsi" w:cstheme="minorHAnsi"/>
          <w:i/>
          <w:color w:val="28333D"/>
          <w:lang w:val="en-US"/>
        </w:rPr>
        <w:t>evolution</w:t>
      </w:r>
      <w:r w:rsidRPr="00CC6070">
        <w:rPr>
          <w:rFonts w:asciiTheme="minorHAnsi" w:eastAsia="Arial" w:hAnsiTheme="minorHAnsi" w:cstheme="minorHAnsi"/>
          <w:color w:val="28333D"/>
          <w:lang w:val="en-US"/>
        </w:rPr>
        <w:t xml:space="preserve"> ,</w:t>
      </w:r>
      <w:proofErr w:type="gramEnd"/>
      <w:r w:rsidRPr="00CC6070">
        <w:rPr>
          <w:rFonts w:asciiTheme="minorHAnsi" w:eastAsia="Arial" w:hAnsiTheme="minorHAnsi" w:cstheme="minorHAnsi"/>
          <w:color w:val="28333D"/>
          <w:lang w:val="en-US"/>
        </w:rPr>
        <w:t xml:space="preserve"> 53 5, 515-27. </w:t>
      </w:r>
      <w:hyperlink r:id="rId10">
        <w:r w:rsidRPr="00CC6070">
          <w:rPr>
            <w:rFonts w:asciiTheme="minorHAnsi" w:eastAsia="Arial" w:hAnsiTheme="minorHAnsi" w:cstheme="minorHAnsi"/>
            <w:color w:val="1155CC"/>
            <w:u w:val="single"/>
            <w:lang w:val="en-US"/>
          </w:rPr>
          <w:t>https://doi.org/10.1016/J.JHEVOL.2007.05.015</w:t>
        </w:r>
      </w:hyperlink>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after="180"/>
        <w:ind w:left="1133" w:hanging="1133"/>
        <w:jc w:val="both"/>
        <w:rPr>
          <w:rFonts w:asciiTheme="minorHAnsi" w:eastAsia="Arial" w:hAnsiTheme="minorHAnsi" w:cstheme="minorHAnsi"/>
          <w:color w:val="1155CC"/>
          <w:u w:val="single"/>
          <w:lang w:val="en-US"/>
        </w:rPr>
      </w:pPr>
      <w:r w:rsidRPr="00CC6070">
        <w:rPr>
          <w:rFonts w:asciiTheme="minorHAnsi" w:eastAsia="Arial" w:hAnsiTheme="minorHAnsi" w:cstheme="minorHAnsi"/>
          <w:color w:val="28333D"/>
          <w:lang w:val="en-US"/>
        </w:rPr>
        <w:t xml:space="preserve">Fordham, </w:t>
      </w:r>
      <w:r w:rsidRPr="00CC6070">
        <w:rPr>
          <w:rFonts w:asciiTheme="minorHAnsi" w:eastAsia="Arial" w:hAnsiTheme="minorHAnsi" w:cstheme="minorHAnsi"/>
          <w:color w:val="28333D"/>
          <w:lang w:val="en-US"/>
        </w:rPr>
        <w:t>D., Fordham, D., Jackson, S., Jackson, S., Brown, S., Huntley, B., Brook, B., Dahl-Jensen, D., Dahl-Jensen, D., Gilbert , M., Gilbert, M., Otto‐</w:t>
      </w:r>
      <w:proofErr w:type="spellStart"/>
      <w:r w:rsidRPr="00CC6070">
        <w:rPr>
          <w:rFonts w:asciiTheme="minorHAnsi" w:eastAsia="Arial" w:hAnsiTheme="minorHAnsi" w:cstheme="minorHAnsi"/>
          <w:color w:val="28333D"/>
          <w:lang w:val="en-US"/>
        </w:rPr>
        <w:t>Bliesner</w:t>
      </w:r>
      <w:proofErr w:type="spellEnd"/>
      <w:r w:rsidRPr="00CC6070">
        <w:rPr>
          <w:rFonts w:asciiTheme="minorHAnsi" w:eastAsia="Arial" w:hAnsiTheme="minorHAnsi" w:cstheme="minorHAnsi"/>
          <w:color w:val="28333D"/>
          <w:lang w:val="en-US"/>
        </w:rPr>
        <w:t xml:space="preserve">, B., </w:t>
      </w:r>
      <w:proofErr w:type="spellStart"/>
      <w:r w:rsidRPr="00CC6070">
        <w:rPr>
          <w:rFonts w:asciiTheme="minorHAnsi" w:eastAsia="Arial" w:hAnsiTheme="minorHAnsi" w:cstheme="minorHAnsi"/>
          <w:color w:val="28333D"/>
          <w:lang w:val="en-US"/>
        </w:rPr>
        <w:t>Svensson</w:t>
      </w:r>
      <w:proofErr w:type="spellEnd"/>
      <w:r w:rsidRPr="00CC6070">
        <w:rPr>
          <w:rFonts w:asciiTheme="minorHAnsi" w:eastAsia="Arial" w:hAnsiTheme="minorHAnsi" w:cstheme="minorHAnsi"/>
          <w:color w:val="28333D"/>
          <w:lang w:val="en-US"/>
        </w:rPr>
        <w:t xml:space="preserve">, A., </w:t>
      </w:r>
      <w:proofErr w:type="spellStart"/>
      <w:r w:rsidRPr="00CC6070">
        <w:rPr>
          <w:rFonts w:asciiTheme="minorHAnsi" w:eastAsia="Arial" w:hAnsiTheme="minorHAnsi" w:cstheme="minorHAnsi"/>
          <w:color w:val="28333D"/>
          <w:lang w:val="en-US"/>
        </w:rPr>
        <w:t>Theodoridis</w:t>
      </w:r>
      <w:proofErr w:type="spellEnd"/>
      <w:r w:rsidRPr="00CC6070">
        <w:rPr>
          <w:rFonts w:asciiTheme="minorHAnsi" w:eastAsia="Arial" w:hAnsiTheme="minorHAnsi" w:cstheme="minorHAnsi"/>
          <w:color w:val="28333D"/>
          <w:lang w:val="en-US"/>
        </w:rPr>
        <w:t xml:space="preserve">, S., </w:t>
      </w:r>
      <w:proofErr w:type="spellStart"/>
      <w:r w:rsidRPr="00CC6070">
        <w:rPr>
          <w:rFonts w:asciiTheme="minorHAnsi" w:eastAsia="Arial" w:hAnsiTheme="minorHAnsi" w:cstheme="minorHAnsi"/>
          <w:color w:val="28333D"/>
          <w:lang w:val="en-US"/>
        </w:rPr>
        <w:t>Wilmshurst</w:t>
      </w:r>
      <w:proofErr w:type="spellEnd"/>
      <w:r w:rsidRPr="00CC6070">
        <w:rPr>
          <w:rFonts w:asciiTheme="minorHAnsi" w:eastAsia="Arial" w:hAnsiTheme="minorHAnsi" w:cstheme="minorHAnsi"/>
          <w:color w:val="28333D"/>
          <w:lang w:val="en-US"/>
        </w:rPr>
        <w:t xml:space="preserve">, J., </w:t>
      </w:r>
      <w:proofErr w:type="spellStart"/>
      <w:r w:rsidRPr="00CC6070">
        <w:rPr>
          <w:rFonts w:asciiTheme="minorHAnsi" w:eastAsia="Arial" w:hAnsiTheme="minorHAnsi" w:cstheme="minorHAnsi"/>
          <w:color w:val="28333D"/>
          <w:lang w:val="en-US"/>
        </w:rPr>
        <w:t>Wilmshurst</w:t>
      </w:r>
      <w:proofErr w:type="spellEnd"/>
      <w:r w:rsidRPr="00CC6070">
        <w:rPr>
          <w:rFonts w:asciiTheme="minorHAnsi" w:eastAsia="Arial" w:hAnsiTheme="minorHAnsi" w:cstheme="minorHAnsi"/>
          <w:color w:val="28333D"/>
          <w:lang w:val="en-US"/>
        </w:rPr>
        <w:t xml:space="preserve">, J., </w:t>
      </w:r>
      <w:proofErr w:type="spellStart"/>
      <w:r w:rsidRPr="00CC6070">
        <w:rPr>
          <w:rFonts w:asciiTheme="minorHAnsi" w:eastAsia="Arial" w:hAnsiTheme="minorHAnsi" w:cstheme="minorHAnsi"/>
          <w:color w:val="28333D"/>
          <w:lang w:val="en-US"/>
        </w:rPr>
        <w:t>Buettel</w:t>
      </w:r>
      <w:proofErr w:type="spellEnd"/>
      <w:r w:rsidRPr="00CC6070">
        <w:rPr>
          <w:rFonts w:asciiTheme="minorHAnsi" w:eastAsia="Arial" w:hAnsiTheme="minorHAnsi" w:cstheme="minorHAnsi"/>
          <w:color w:val="28333D"/>
          <w:lang w:val="en-US"/>
        </w:rPr>
        <w:t xml:space="preserve">, J., </w:t>
      </w:r>
      <w:proofErr w:type="spellStart"/>
      <w:r w:rsidRPr="00CC6070">
        <w:rPr>
          <w:rFonts w:asciiTheme="minorHAnsi" w:eastAsia="Arial" w:hAnsiTheme="minorHAnsi" w:cstheme="minorHAnsi"/>
          <w:color w:val="28333D"/>
          <w:lang w:val="en-US"/>
        </w:rPr>
        <w:t>Canteri</w:t>
      </w:r>
      <w:proofErr w:type="spellEnd"/>
      <w:r w:rsidRPr="00CC6070">
        <w:rPr>
          <w:rFonts w:asciiTheme="minorHAnsi" w:eastAsia="Arial" w:hAnsiTheme="minorHAnsi" w:cstheme="minorHAnsi"/>
          <w:color w:val="28333D"/>
          <w:lang w:val="en-US"/>
        </w:rPr>
        <w:t xml:space="preserve">, E., </w:t>
      </w:r>
      <w:proofErr w:type="spellStart"/>
      <w:r w:rsidRPr="00CC6070">
        <w:rPr>
          <w:rFonts w:asciiTheme="minorHAnsi" w:eastAsia="Arial" w:hAnsiTheme="minorHAnsi" w:cstheme="minorHAnsi"/>
          <w:color w:val="28333D"/>
          <w:lang w:val="en-US"/>
        </w:rPr>
        <w:t>Canteri</w:t>
      </w:r>
      <w:proofErr w:type="spellEnd"/>
      <w:r w:rsidRPr="00CC6070">
        <w:rPr>
          <w:rFonts w:asciiTheme="minorHAnsi" w:eastAsia="Arial" w:hAnsiTheme="minorHAnsi" w:cstheme="minorHAnsi"/>
          <w:color w:val="28333D"/>
          <w:lang w:val="en-US"/>
        </w:rPr>
        <w:t xml:space="preserve">, </w:t>
      </w:r>
      <w:r w:rsidRPr="00CC6070">
        <w:rPr>
          <w:rFonts w:asciiTheme="minorHAnsi" w:eastAsia="Arial" w:hAnsiTheme="minorHAnsi" w:cstheme="minorHAnsi"/>
          <w:color w:val="28333D"/>
          <w:lang w:val="en-US"/>
        </w:rPr>
        <w:t xml:space="preserve">E., McDowell, M., Orlando, L., Orlando, L., </w:t>
      </w:r>
      <w:proofErr w:type="spellStart"/>
      <w:r w:rsidRPr="00CC6070">
        <w:rPr>
          <w:rFonts w:asciiTheme="minorHAnsi" w:eastAsia="Arial" w:hAnsiTheme="minorHAnsi" w:cstheme="minorHAnsi"/>
          <w:color w:val="28333D"/>
          <w:lang w:val="en-US"/>
        </w:rPr>
        <w:t>Pilowsky</w:t>
      </w:r>
      <w:proofErr w:type="spellEnd"/>
      <w:r w:rsidRPr="00CC6070">
        <w:rPr>
          <w:rFonts w:asciiTheme="minorHAnsi" w:eastAsia="Arial" w:hAnsiTheme="minorHAnsi" w:cstheme="minorHAnsi"/>
          <w:color w:val="28333D"/>
          <w:lang w:val="en-US"/>
        </w:rPr>
        <w:t xml:space="preserve">, J., </w:t>
      </w:r>
      <w:proofErr w:type="spellStart"/>
      <w:r w:rsidRPr="00CC6070">
        <w:rPr>
          <w:rFonts w:asciiTheme="minorHAnsi" w:eastAsia="Arial" w:hAnsiTheme="minorHAnsi" w:cstheme="minorHAnsi"/>
          <w:color w:val="28333D"/>
          <w:lang w:val="en-US"/>
        </w:rPr>
        <w:t>Pilowsky</w:t>
      </w:r>
      <w:proofErr w:type="spellEnd"/>
      <w:r w:rsidRPr="00CC6070">
        <w:rPr>
          <w:rFonts w:asciiTheme="minorHAnsi" w:eastAsia="Arial" w:hAnsiTheme="minorHAnsi" w:cstheme="minorHAnsi"/>
          <w:color w:val="28333D"/>
          <w:lang w:val="en-US"/>
        </w:rPr>
        <w:t xml:space="preserve">, J., </w:t>
      </w:r>
      <w:proofErr w:type="spellStart"/>
      <w:r w:rsidRPr="00CC6070">
        <w:rPr>
          <w:rFonts w:asciiTheme="minorHAnsi" w:eastAsia="Arial" w:hAnsiTheme="minorHAnsi" w:cstheme="minorHAnsi"/>
          <w:color w:val="28333D"/>
          <w:lang w:val="en-US"/>
        </w:rPr>
        <w:t>Rahbek</w:t>
      </w:r>
      <w:proofErr w:type="spellEnd"/>
      <w:r w:rsidRPr="00CC6070">
        <w:rPr>
          <w:rFonts w:asciiTheme="minorHAnsi" w:eastAsia="Arial" w:hAnsiTheme="minorHAnsi" w:cstheme="minorHAnsi"/>
          <w:color w:val="28333D"/>
          <w:lang w:val="en-US"/>
        </w:rPr>
        <w:t xml:space="preserve">, C., &amp; </w:t>
      </w:r>
      <w:proofErr w:type="spellStart"/>
      <w:r w:rsidRPr="00CC6070">
        <w:rPr>
          <w:rFonts w:asciiTheme="minorHAnsi" w:eastAsia="Arial" w:hAnsiTheme="minorHAnsi" w:cstheme="minorHAnsi"/>
          <w:color w:val="28333D"/>
          <w:lang w:val="en-US"/>
        </w:rPr>
        <w:t>Nogués</w:t>
      </w:r>
      <w:proofErr w:type="spellEnd"/>
      <w:r w:rsidRPr="00CC6070">
        <w:rPr>
          <w:rFonts w:asciiTheme="minorHAnsi" w:eastAsia="Arial" w:hAnsiTheme="minorHAnsi" w:cstheme="minorHAnsi"/>
          <w:color w:val="28333D"/>
          <w:lang w:val="en-US"/>
        </w:rPr>
        <w:t xml:space="preserve">-Bravo, D. (2020). </w:t>
      </w:r>
      <w:proofErr w:type="gramStart"/>
      <w:r w:rsidRPr="00CC6070">
        <w:rPr>
          <w:rFonts w:asciiTheme="minorHAnsi" w:eastAsia="Arial" w:hAnsiTheme="minorHAnsi" w:cstheme="minorHAnsi"/>
          <w:color w:val="28333D"/>
          <w:lang w:val="en-US"/>
        </w:rPr>
        <w:t xml:space="preserve">Using </w:t>
      </w:r>
      <w:proofErr w:type="spellStart"/>
      <w:r w:rsidRPr="00CC6070">
        <w:rPr>
          <w:rFonts w:asciiTheme="minorHAnsi" w:eastAsia="Arial" w:hAnsiTheme="minorHAnsi" w:cstheme="minorHAnsi"/>
          <w:color w:val="28333D"/>
          <w:lang w:val="en-US"/>
        </w:rPr>
        <w:t>paleo</w:t>
      </w:r>
      <w:proofErr w:type="spellEnd"/>
      <w:r w:rsidRPr="00CC6070">
        <w:rPr>
          <w:rFonts w:asciiTheme="minorHAnsi" w:eastAsia="Arial" w:hAnsiTheme="minorHAnsi" w:cstheme="minorHAnsi"/>
          <w:color w:val="28333D"/>
          <w:lang w:val="en-US"/>
        </w:rPr>
        <w:t>-archives to safeguard biodiversity under climate change.</w:t>
      </w:r>
      <w:proofErr w:type="gramEnd"/>
      <w:r w:rsidRPr="00CC6070">
        <w:rPr>
          <w:rFonts w:asciiTheme="minorHAnsi" w:eastAsia="Arial" w:hAnsiTheme="minorHAnsi" w:cstheme="minorHAnsi"/>
          <w:color w:val="28333D"/>
          <w:lang w:val="en-US"/>
        </w:rPr>
        <w:t xml:space="preserve"> </w:t>
      </w:r>
      <w:proofErr w:type="gramStart"/>
      <w:r w:rsidRPr="00CC6070">
        <w:rPr>
          <w:rFonts w:asciiTheme="minorHAnsi" w:eastAsia="Arial" w:hAnsiTheme="minorHAnsi" w:cstheme="minorHAnsi"/>
          <w:i/>
          <w:color w:val="28333D"/>
          <w:lang w:val="en-US"/>
        </w:rPr>
        <w:t>Science</w:t>
      </w:r>
      <w:r w:rsidRPr="00CC6070">
        <w:rPr>
          <w:rFonts w:asciiTheme="minorHAnsi" w:eastAsia="Arial" w:hAnsiTheme="minorHAnsi" w:cstheme="minorHAnsi"/>
          <w:color w:val="28333D"/>
          <w:lang w:val="en-US"/>
        </w:rPr>
        <w:t xml:space="preserve"> ,</w:t>
      </w:r>
      <w:proofErr w:type="gramEnd"/>
      <w:r w:rsidRPr="00CC6070">
        <w:rPr>
          <w:rFonts w:asciiTheme="minorHAnsi" w:eastAsia="Arial" w:hAnsiTheme="minorHAnsi" w:cstheme="minorHAnsi"/>
          <w:color w:val="28333D"/>
          <w:lang w:val="en-US"/>
        </w:rPr>
        <w:t xml:space="preserve"> 369. </w:t>
      </w:r>
      <w:hyperlink r:id="rId11">
        <w:r w:rsidRPr="00CC6070">
          <w:rPr>
            <w:rFonts w:asciiTheme="minorHAnsi" w:eastAsia="Arial" w:hAnsiTheme="minorHAnsi" w:cstheme="minorHAnsi"/>
            <w:color w:val="1155CC"/>
            <w:u w:val="single"/>
            <w:lang w:val="en-US"/>
          </w:rPr>
          <w:t>http</w:t>
        </w:r>
        <w:r w:rsidRPr="00CC6070">
          <w:rPr>
            <w:rFonts w:asciiTheme="minorHAnsi" w:eastAsia="Arial" w:hAnsiTheme="minorHAnsi" w:cstheme="minorHAnsi"/>
            <w:color w:val="1155CC"/>
            <w:u w:val="single"/>
            <w:lang w:val="en-US"/>
          </w:rPr>
          <w:t>s://doi.org/10.1126/science.abc5654</w:t>
        </w:r>
      </w:hyperlink>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tabs>
          <w:tab w:val="left" w:pos="1316"/>
        </w:tabs>
        <w:spacing w:after="180"/>
        <w:ind w:left="1133" w:hanging="1133"/>
        <w:jc w:val="both"/>
        <w:rPr>
          <w:rFonts w:asciiTheme="minorHAnsi" w:eastAsia="Arial" w:hAnsiTheme="minorHAnsi" w:cstheme="minorHAnsi"/>
          <w:color w:val="1155CC"/>
          <w:u w:val="single"/>
          <w:lang w:val="en-US"/>
        </w:rPr>
      </w:pPr>
      <w:proofErr w:type="gramStart"/>
      <w:r w:rsidRPr="00CC6070">
        <w:rPr>
          <w:rFonts w:asciiTheme="minorHAnsi" w:eastAsia="Arial" w:hAnsiTheme="minorHAnsi" w:cstheme="minorHAnsi"/>
          <w:color w:val="28333D"/>
          <w:lang w:val="en-US"/>
        </w:rPr>
        <w:t xml:space="preserve">Fordham, D., </w:t>
      </w:r>
      <w:proofErr w:type="spellStart"/>
      <w:r w:rsidRPr="00CC6070">
        <w:rPr>
          <w:rFonts w:asciiTheme="minorHAnsi" w:eastAsia="Arial" w:hAnsiTheme="minorHAnsi" w:cstheme="minorHAnsi"/>
          <w:color w:val="28333D"/>
          <w:lang w:val="en-US"/>
        </w:rPr>
        <w:t>Saltré</w:t>
      </w:r>
      <w:proofErr w:type="spellEnd"/>
      <w:r w:rsidRPr="00CC6070">
        <w:rPr>
          <w:rFonts w:asciiTheme="minorHAnsi" w:eastAsia="Arial" w:hAnsiTheme="minorHAnsi" w:cstheme="minorHAnsi"/>
          <w:color w:val="28333D"/>
          <w:lang w:val="en-US"/>
        </w:rPr>
        <w:t xml:space="preserve">, F., </w:t>
      </w:r>
      <w:proofErr w:type="spellStart"/>
      <w:r w:rsidRPr="00CC6070">
        <w:rPr>
          <w:rFonts w:asciiTheme="minorHAnsi" w:eastAsia="Arial" w:hAnsiTheme="minorHAnsi" w:cstheme="minorHAnsi"/>
          <w:color w:val="28333D"/>
          <w:lang w:val="en-US"/>
        </w:rPr>
        <w:t>Haythorne</w:t>
      </w:r>
      <w:proofErr w:type="spellEnd"/>
      <w:r w:rsidRPr="00CC6070">
        <w:rPr>
          <w:rFonts w:asciiTheme="minorHAnsi" w:eastAsia="Arial" w:hAnsiTheme="minorHAnsi" w:cstheme="minorHAnsi"/>
          <w:color w:val="28333D"/>
          <w:lang w:val="en-US"/>
        </w:rPr>
        <w:t xml:space="preserve">, S., </w:t>
      </w:r>
      <w:proofErr w:type="spellStart"/>
      <w:r w:rsidRPr="00CC6070">
        <w:rPr>
          <w:rFonts w:asciiTheme="minorHAnsi" w:eastAsia="Arial" w:hAnsiTheme="minorHAnsi" w:cstheme="minorHAnsi"/>
          <w:color w:val="28333D"/>
          <w:lang w:val="en-US"/>
        </w:rPr>
        <w:t>Wigley</w:t>
      </w:r>
      <w:proofErr w:type="spellEnd"/>
      <w:r w:rsidRPr="00CC6070">
        <w:rPr>
          <w:rFonts w:asciiTheme="minorHAnsi" w:eastAsia="Arial" w:hAnsiTheme="minorHAnsi" w:cstheme="minorHAnsi"/>
          <w:color w:val="28333D"/>
          <w:lang w:val="en-US"/>
        </w:rPr>
        <w:t>, T., Otto‐</w:t>
      </w:r>
      <w:proofErr w:type="spellStart"/>
      <w:r w:rsidRPr="00CC6070">
        <w:rPr>
          <w:rFonts w:asciiTheme="minorHAnsi" w:eastAsia="Arial" w:hAnsiTheme="minorHAnsi" w:cstheme="minorHAnsi"/>
          <w:color w:val="28333D"/>
          <w:lang w:val="en-US"/>
        </w:rPr>
        <w:t>Bliesner</w:t>
      </w:r>
      <w:proofErr w:type="spellEnd"/>
      <w:r w:rsidRPr="00CC6070">
        <w:rPr>
          <w:rFonts w:asciiTheme="minorHAnsi" w:eastAsia="Arial" w:hAnsiTheme="minorHAnsi" w:cstheme="minorHAnsi"/>
          <w:color w:val="28333D"/>
          <w:lang w:val="en-US"/>
        </w:rPr>
        <w:t>, B., Chan, K., &amp; Brook, B. (2017).</w:t>
      </w:r>
      <w:proofErr w:type="gramEnd"/>
      <w:r w:rsidRPr="00CC6070">
        <w:rPr>
          <w:rFonts w:asciiTheme="minorHAnsi" w:eastAsia="Arial" w:hAnsiTheme="minorHAnsi" w:cstheme="minorHAnsi"/>
          <w:color w:val="28333D"/>
          <w:lang w:val="en-US"/>
        </w:rPr>
        <w:t xml:space="preserve"> </w:t>
      </w:r>
      <w:proofErr w:type="spellStart"/>
      <w:r w:rsidRPr="00CC6070">
        <w:rPr>
          <w:rFonts w:asciiTheme="minorHAnsi" w:eastAsia="Arial" w:hAnsiTheme="minorHAnsi" w:cstheme="minorHAnsi"/>
          <w:color w:val="28333D"/>
          <w:lang w:val="en-US"/>
        </w:rPr>
        <w:t>PaleoView</w:t>
      </w:r>
      <w:proofErr w:type="spellEnd"/>
      <w:r w:rsidRPr="00CC6070">
        <w:rPr>
          <w:rFonts w:asciiTheme="minorHAnsi" w:eastAsia="Arial" w:hAnsiTheme="minorHAnsi" w:cstheme="minorHAnsi"/>
          <w:color w:val="28333D"/>
          <w:lang w:val="en-US"/>
        </w:rPr>
        <w:t>: a tool for generating continuous climate projections spanning the last 21 000 years at regional and global s</w:t>
      </w:r>
      <w:r w:rsidRPr="00CC6070">
        <w:rPr>
          <w:rFonts w:asciiTheme="minorHAnsi" w:eastAsia="Arial" w:hAnsiTheme="minorHAnsi" w:cstheme="minorHAnsi"/>
          <w:color w:val="28333D"/>
          <w:lang w:val="en-US"/>
        </w:rPr>
        <w:t xml:space="preserve">cales. </w:t>
      </w:r>
      <w:proofErr w:type="spellStart"/>
      <w:proofErr w:type="gramStart"/>
      <w:r w:rsidRPr="00CC6070">
        <w:rPr>
          <w:rFonts w:asciiTheme="minorHAnsi" w:eastAsia="Arial" w:hAnsiTheme="minorHAnsi" w:cstheme="minorHAnsi"/>
          <w:i/>
          <w:color w:val="28333D"/>
          <w:lang w:val="en-US"/>
        </w:rPr>
        <w:t>Ecography</w:t>
      </w:r>
      <w:proofErr w:type="spellEnd"/>
      <w:r w:rsidRPr="00CC6070">
        <w:rPr>
          <w:rFonts w:asciiTheme="minorHAnsi" w:eastAsia="Arial" w:hAnsiTheme="minorHAnsi" w:cstheme="minorHAnsi"/>
          <w:color w:val="28333D"/>
          <w:lang w:val="en-US"/>
        </w:rPr>
        <w:t xml:space="preserve"> ,</w:t>
      </w:r>
      <w:proofErr w:type="gramEnd"/>
      <w:r w:rsidRPr="00CC6070">
        <w:rPr>
          <w:rFonts w:asciiTheme="minorHAnsi" w:eastAsia="Arial" w:hAnsiTheme="minorHAnsi" w:cstheme="minorHAnsi"/>
          <w:color w:val="28333D"/>
          <w:lang w:val="en-US"/>
        </w:rPr>
        <w:t xml:space="preserve"> 40, 1348-1358. </w:t>
      </w:r>
      <w:hyperlink r:id="rId12">
        <w:r w:rsidRPr="00CC6070">
          <w:rPr>
            <w:rFonts w:asciiTheme="minorHAnsi" w:eastAsia="Arial" w:hAnsiTheme="minorHAnsi" w:cstheme="minorHAnsi"/>
            <w:color w:val="1155CC"/>
            <w:u w:val="single"/>
            <w:lang w:val="en-US"/>
          </w:rPr>
          <w:t>https://doi.org/10.1111/ECOG.03031</w:t>
        </w:r>
      </w:hyperlink>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shd w:val="clear" w:color="auto" w:fill="FFFFFF"/>
        <w:tabs>
          <w:tab w:val="left" w:pos="1316"/>
        </w:tabs>
        <w:spacing w:after="180"/>
        <w:ind w:left="1133" w:hanging="1133"/>
        <w:jc w:val="both"/>
        <w:rPr>
          <w:rFonts w:asciiTheme="minorHAnsi" w:eastAsia="Arial" w:hAnsiTheme="minorHAnsi" w:cstheme="minorHAnsi"/>
          <w:color w:val="1155CC"/>
          <w:u w:val="single"/>
          <w:lang w:val="en-US"/>
        </w:rPr>
      </w:pPr>
      <w:proofErr w:type="spellStart"/>
      <w:proofErr w:type="gramStart"/>
      <w:r w:rsidRPr="00CC6070">
        <w:rPr>
          <w:rFonts w:asciiTheme="minorHAnsi" w:eastAsia="Arial" w:hAnsiTheme="minorHAnsi" w:cstheme="minorHAnsi"/>
          <w:color w:val="28333D"/>
          <w:lang w:val="en-US"/>
        </w:rPr>
        <w:t>Karpudewan</w:t>
      </w:r>
      <w:proofErr w:type="spellEnd"/>
      <w:r w:rsidRPr="00CC6070">
        <w:rPr>
          <w:rFonts w:asciiTheme="minorHAnsi" w:eastAsia="Arial" w:hAnsiTheme="minorHAnsi" w:cstheme="minorHAnsi"/>
          <w:color w:val="28333D"/>
          <w:lang w:val="en-US"/>
        </w:rPr>
        <w:t>, M., &amp;</w:t>
      </w:r>
      <w:r w:rsidRPr="00CC6070">
        <w:rPr>
          <w:rFonts w:asciiTheme="minorHAnsi" w:eastAsia="Arial" w:hAnsiTheme="minorHAnsi" w:cstheme="minorHAnsi"/>
          <w:color w:val="28333D"/>
          <w:lang w:val="en-US"/>
        </w:rPr>
        <w:t xml:space="preserve"> Khan, N. (2017).</w:t>
      </w:r>
      <w:proofErr w:type="gramEnd"/>
      <w:r w:rsidRPr="00CC6070">
        <w:rPr>
          <w:rFonts w:asciiTheme="minorHAnsi" w:eastAsia="Arial" w:hAnsiTheme="minorHAnsi" w:cstheme="minorHAnsi"/>
          <w:color w:val="28333D"/>
          <w:lang w:val="en-US"/>
        </w:rPr>
        <w:t xml:space="preserve"> Experiential-based climate change education: fostering students' knowledge and motivation towards the environment. </w:t>
      </w:r>
      <w:r w:rsidRPr="00CC6070">
        <w:rPr>
          <w:rFonts w:asciiTheme="minorHAnsi" w:eastAsia="Arial" w:hAnsiTheme="minorHAnsi" w:cstheme="minorHAnsi"/>
          <w:i/>
          <w:color w:val="28333D"/>
          <w:lang w:val="en-US"/>
        </w:rPr>
        <w:t xml:space="preserve">International Research in Geographical and Environmental </w:t>
      </w:r>
      <w:proofErr w:type="gramStart"/>
      <w:r w:rsidRPr="00CC6070">
        <w:rPr>
          <w:rFonts w:asciiTheme="minorHAnsi" w:eastAsia="Arial" w:hAnsiTheme="minorHAnsi" w:cstheme="minorHAnsi"/>
          <w:i/>
          <w:color w:val="28333D"/>
          <w:lang w:val="en-US"/>
        </w:rPr>
        <w:t>Education</w:t>
      </w:r>
      <w:r w:rsidRPr="00CC6070">
        <w:rPr>
          <w:rFonts w:asciiTheme="minorHAnsi" w:eastAsia="Arial" w:hAnsiTheme="minorHAnsi" w:cstheme="minorHAnsi"/>
          <w:color w:val="28333D"/>
          <w:lang w:val="en-US"/>
        </w:rPr>
        <w:t xml:space="preserve"> ,</w:t>
      </w:r>
      <w:proofErr w:type="gramEnd"/>
      <w:r w:rsidRPr="00CC6070">
        <w:rPr>
          <w:rFonts w:asciiTheme="minorHAnsi" w:eastAsia="Arial" w:hAnsiTheme="minorHAnsi" w:cstheme="minorHAnsi"/>
          <w:color w:val="28333D"/>
          <w:lang w:val="en-US"/>
        </w:rPr>
        <w:t xml:space="preserve"> 26, 207 - 222. </w:t>
      </w:r>
      <w:hyperlink r:id="rId13">
        <w:r w:rsidRPr="00CC6070">
          <w:rPr>
            <w:rFonts w:asciiTheme="minorHAnsi" w:eastAsia="Arial" w:hAnsiTheme="minorHAnsi" w:cstheme="minorHAnsi"/>
            <w:color w:val="1155CC"/>
            <w:u w:val="single"/>
            <w:lang w:val="en-US"/>
          </w:rPr>
          <w:t>https://doi.org/10.1080/10382046.2017.1330037</w:t>
        </w:r>
      </w:hyperlink>
    </w:p>
    <w:p w:rsidR="00386404" w:rsidRPr="00CC6070" w:rsidRDefault="0036485C">
      <w:pPr>
        <w:pBdr>
          <w:top w:val="none" w:sz="0" w:space="0" w:color="DEE0E3"/>
          <w:left w:val="none" w:sz="0" w:space="0" w:color="DEE0E3"/>
          <w:bottom w:val="none" w:sz="0" w:space="0" w:color="DEE0E3"/>
          <w:right w:val="none" w:sz="0" w:space="0" w:color="DEE0E3"/>
          <w:between w:val="none" w:sz="0" w:space="0" w:color="DEE0E3"/>
        </w:pBdr>
        <w:shd w:val="clear" w:color="auto" w:fill="FFFFFF"/>
        <w:tabs>
          <w:tab w:val="left" w:pos="1316"/>
        </w:tabs>
        <w:spacing w:after="180"/>
        <w:ind w:left="1133" w:hanging="1133"/>
        <w:jc w:val="both"/>
        <w:rPr>
          <w:rFonts w:asciiTheme="minorHAnsi" w:eastAsia="Arial" w:hAnsiTheme="minorHAnsi" w:cstheme="minorHAnsi"/>
          <w:color w:val="1155CC"/>
          <w:u w:val="single"/>
          <w:lang w:val="en-US"/>
        </w:rPr>
      </w:pPr>
      <w:proofErr w:type="gramStart"/>
      <w:r w:rsidRPr="00CC6070">
        <w:rPr>
          <w:rFonts w:asciiTheme="minorHAnsi" w:eastAsia="Arial" w:hAnsiTheme="minorHAnsi" w:cstheme="minorHAnsi"/>
          <w:color w:val="28333D"/>
          <w:lang w:val="en-US"/>
        </w:rPr>
        <w:t xml:space="preserve">Monroe, M., Plate, R., </w:t>
      </w:r>
      <w:proofErr w:type="spellStart"/>
      <w:r w:rsidRPr="00CC6070">
        <w:rPr>
          <w:rFonts w:asciiTheme="minorHAnsi" w:eastAsia="Arial" w:hAnsiTheme="minorHAnsi" w:cstheme="minorHAnsi"/>
          <w:color w:val="28333D"/>
          <w:lang w:val="en-US"/>
        </w:rPr>
        <w:t>Oxarart</w:t>
      </w:r>
      <w:proofErr w:type="spellEnd"/>
      <w:r w:rsidRPr="00CC6070">
        <w:rPr>
          <w:rFonts w:asciiTheme="minorHAnsi" w:eastAsia="Arial" w:hAnsiTheme="minorHAnsi" w:cstheme="minorHAnsi"/>
          <w:color w:val="28333D"/>
          <w:lang w:val="en-US"/>
        </w:rPr>
        <w:t>, A., Bowers, A., &amp; Chaves, W. (2019).</w:t>
      </w:r>
      <w:proofErr w:type="gramEnd"/>
      <w:r w:rsidRPr="00CC6070">
        <w:rPr>
          <w:rFonts w:asciiTheme="minorHAnsi" w:eastAsia="Arial" w:hAnsiTheme="minorHAnsi" w:cstheme="minorHAnsi"/>
          <w:color w:val="28333D"/>
          <w:lang w:val="en-US"/>
        </w:rPr>
        <w:t xml:space="preserve"> </w:t>
      </w:r>
      <w:proofErr w:type="gramStart"/>
      <w:r w:rsidRPr="00CC6070">
        <w:rPr>
          <w:rFonts w:asciiTheme="minorHAnsi" w:eastAsia="Arial" w:hAnsiTheme="minorHAnsi" w:cstheme="minorHAnsi"/>
          <w:color w:val="28333D"/>
          <w:lang w:val="en-US"/>
        </w:rPr>
        <w:t>Identifying effective climate change education strategies: a systematic review of the research.</w:t>
      </w:r>
      <w:proofErr w:type="gramEnd"/>
      <w:r w:rsidRPr="00CC6070">
        <w:rPr>
          <w:rFonts w:asciiTheme="minorHAnsi" w:eastAsia="Arial" w:hAnsiTheme="minorHAnsi" w:cstheme="minorHAnsi"/>
          <w:i/>
          <w:color w:val="28333D"/>
          <w:lang w:val="en-US"/>
        </w:rPr>
        <w:t xml:space="preserve"> </w:t>
      </w:r>
      <w:r w:rsidRPr="00CC6070">
        <w:rPr>
          <w:rFonts w:asciiTheme="minorHAnsi" w:eastAsia="Arial" w:hAnsiTheme="minorHAnsi" w:cstheme="minorHAnsi"/>
          <w:i/>
          <w:color w:val="28333D"/>
          <w:lang w:val="en-US"/>
        </w:rPr>
        <w:t>Environmental Education Research</w:t>
      </w:r>
      <w:r w:rsidRPr="00CC6070">
        <w:rPr>
          <w:rFonts w:asciiTheme="minorHAnsi" w:eastAsia="Arial" w:hAnsiTheme="minorHAnsi" w:cstheme="minorHAnsi"/>
          <w:color w:val="28333D"/>
          <w:lang w:val="en-US"/>
        </w:rPr>
        <w:t xml:space="preserve">, 25, 791 - 812. </w:t>
      </w:r>
      <w:hyperlink r:id="rId14">
        <w:r w:rsidRPr="00CC6070">
          <w:rPr>
            <w:rFonts w:asciiTheme="minorHAnsi" w:eastAsia="Arial" w:hAnsiTheme="minorHAnsi" w:cstheme="minorHAnsi"/>
            <w:color w:val="1155CC"/>
            <w:u w:val="single"/>
            <w:lang w:val="en-US"/>
          </w:rPr>
          <w:t>https://doi.org/10.1080/13504622.2017.1360842</w:t>
        </w:r>
      </w:hyperlink>
    </w:p>
    <w:p w:rsidR="00386404" w:rsidRPr="00CC6070" w:rsidRDefault="0036485C">
      <w:pPr>
        <w:tabs>
          <w:tab w:val="left" w:pos="1316"/>
        </w:tabs>
        <w:ind w:left="1133" w:hanging="1133"/>
        <w:jc w:val="both"/>
        <w:rPr>
          <w:rFonts w:asciiTheme="minorHAnsi" w:eastAsia="Arial" w:hAnsiTheme="minorHAnsi" w:cstheme="minorHAnsi"/>
          <w:color w:val="222222"/>
          <w:highlight w:val="white"/>
          <w:lang w:val="en-US"/>
        </w:rPr>
      </w:pPr>
      <w:proofErr w:type="spellStart"/>
      <w:proofErr w:type="gramStart"/>
      <w:r w:rsidRPr="00CC6070">
        <w:rPr>
          <w:rFonts w:asciiTheme="minorHAnsi" w:eastAsia="Arial" w:hAnsiTheme="minorHAnsi" w:cstheme="minorHAnsi"/>
          <w:color w:val="222222"/>
          <w:highlight w:val="white"/>
          <w:lang w:val="en-US"/>
        </w:rPr>
        <w:t>Konidaris</w:t>
      </w:r>
      <w:proofErr w:type="spellEnd"/>
      <w:r w:rsidRPr="00CC6070">
        <w:rPr>
          <w:rFonts w:asciiTheme="minorHAnsi" w:eastAsia="Arial" w:hAnsiTheme="minorHAnsi" w:cstheme="minorHAnsi"/>
          <w:color w:val="222222"/>
          <w:highlight w:val="white"/>
          <w:lang w:val="en-US"/>
        </w:rPr>
        <w:t xml:space="preserve">, G. E., &amp; </w:t>
      </w:r>
      <w:proofErr w:type="spellStart"/>
      <w:r w:rsidRPr="00CC6070">
        <w:rPr>
          <w:rFonts w:asciiTheme="minorHAnsi" w:eastAsia="Arial" w:hAnsiTheme="minorHAnsi" w:cstheme="minorHAnsi"/>
          <w:color w:val="222222"/>
          <w:highlight w:val="white"/>
          <w:lang w:val="en-US"/>
        </w:rPr>
        <w:t>Tsoukala</w:t>
      </w:r>
      <w:proofErr w:type="spellEnd"/>
      <w:r w:rsidRPr="00CC6070">
        <w:rPr>
          <w:rFonts w:asciiTheme="minorHAnsi" w:eastAsia="Arial" w:hAnsiTheme="minorHAnsi" w:cstheme="minorHAnsi"/>
          <w:color w:val="222222"/>
          <w:highlight w:val="white"/>
          <w:lang w:val="en-US"/>
        </w:rPr>
        <w:t>, E. (2020, April).</w:t>
      </w:r>
      <w:proofErr w:type="gramEnd"/>
      <w:r w:rsidRPr="00CC6070">
        <w:rPr>
          <w:rFonts w:asciiTheme="minorHAnsi" w:eastAsia="Arial" w:hAnsiTheme="minorHAnsi" w:cstheme="minorHAnsi"/>
          <w:color w:val="222222"/>
          <w:highlight w:val="white"/>
          <w:lang w:val="en-US"/>
        </w:rPr>
        <w:t xml:space="preserve"> </w:t>
      </w:r>
      <w:proofErr w:type="spellStart"/>
      <w:proofErr w:type="gramStart"/>
      <w:r w:rsidRPr="00CC6070">
        <w:rPr>
          <w:rFonts w:asciiTheme="minorHAnsi" w:eastAsia="Arial" w:hAnsiTheme="minorHAnsi" w:cstheme="minorHAnsi"/>
          <w:color w:val="222222"/>
          <w:highlight w:val="white"/>
          <w:lang w:val="en-US"/>
        </w:rPr>
        <w:t>Proboscideans</w:t>
      </w:r>
      <w:proofErr w:type="spellEnd"/>
      <w:r w:rsidRPr="00CC6070">
        <w:rPr>
          <w:rFonts w:asciiTheme="minorHAnsi" w:eastAsia="Arial" w:hAnsiTheme="minorHAnsi" w:cstheme="minorHAnsi"/>
          <w:color w:val="222222"/>
          <w:highlight w:val="white"/>
          <w:lang w:val="en-US"/>
        </w:rPr>
        <w:t xml:space="preserve"> from the upper Miocene localities of</w:t>
      </w:r>
      <w:r w:rsidRPr="00CC6070">
        <w:rPr>
          <w:rFonts w:asciiTheme="minorHAnsi" w:eastAsia="Arial" w:hAnsiTheme="minorHAnsi" w:cstheme="minorHAnsi"/>
          <w:color w:val="222222"/>
          <w:highlight w:val="white"/>
          <w:lang w:val="en-US"/>
        </w:rPr>
        <w:t xml:space="preserve"> </w:t>
      </w:r>
      <w:proofErr w:type="spellStart"/>
      <w:r w:rsidRPr="00CC6070">
        <w:rPr>
          <w:rFonts w:asciiTheme="minorHAnsi" w:eastAsia="Arial" w:hAnsiTheme="minorHAnsi" w:cstheme="minorHAnsi"/>
          <w:color w:val="222222"/>
          <w:highlight w:val="white"/>
          <w:lang w:val="en-US"/>
        </w:rPr>
        <w:t>Thermopigi</w:t>
      </w:r>
      <w:proofErr w:type="spellEnd"/>
      <w:r w:rsidRPr="00CC6070">
        <w:rPr>
          <w:rFonts w:asciiTheme="minorHAnsi" w:eastAsia="Arial" w:hAnsiTheme="minorHAnsi" w:cstheme="minorHAnsi"/>
          <w:color w:val="222222"/>
          <w:highlight w:val="white"/>
          <w:lang w:val="en-US"/>
        </w:rPr>
        <w:t xml:space="preserve">, </w:t>
      </w:r>
      <w:proofErr w:type="spellStart"/>
      <w:r w:rsidRPr="00CC6070">
        <w:rPr>
          <w:rFonts w:asciiTheme="minorHAnsi" w:eastAsia="Arial" w:hAnsiTheme="minorHAnsi" w:cstheme="minorHAnsi"/>
          <w:color w:val="222222"/>
          <w:highlight w:val="white"/>
          <w:lang w:val="en-US"/>
        </w:rPr>
        <w:t>Neokaisareia</w:t>
      </w:r>
      <w:proofErr w:type="spellEnd"/>
      <w:r w:rsidRPr="00CC6070">
        <w:rPr>
          <w:rFonts w:asciiTheme="minorHAnsi" w:eastAsia="Arial" w:hAnsiTheme="minorHAnsi" w:cstheme="minorHAnsi"/>
          <w:color w:val="222222"/>
          <w:highlight w:val="white"/>
          <w:lang w:val="en-US"/>
        </w:rPr>
        <w:t xml:space="preserve"> and </w:t>
      </w:r>
      <w:proofErr w:type="spellStart"/>
      <w:r w:rsidRPr="00CC6070">
        <w:rPr>
          <w:rFonts w:asciiTheme="minorHAnsi" w:eastAsia="Arial" w:hAnsiTheme="minorHAnsi" w:cstheme="minorHAnsi"/>
          <w:color w:val="222222"/>
          <w:highlight w:val="white"/>
          <w:lang w:val="en-US"/>
        </w:rPr>
        <w:t>Platania</w:t>
      </w:r>
      <w:proofErr w:type="spellEnd"/>
      <w:r w:rsidRPr="00CC6070">
        <w:rPr>
          <w:rFonts w:asciiTheme="minorHAnsi" w:eastAsia="Arial" w:hAnsiTheme="minorHAnsi" w:cstheme="minorHAnsi"/>
          <w:color w:val="222222"/>
          <w:highlight w:val="white"/>
          <w:lang w:val="en-US"/>
        </w:rPr>
        <w:t xml:space="preserve"> (Northern Greece).</w:t>
      </w:r>
      <w:proofErr w:type="gramEnd"/>
      <w:r w:rsidRPr="00CC6070">
        <w:rPr>
          <w:rFonts w:asciiTheme="minorHAnsi" w:eastAsia="Arial" w:hAnsiTheme="minorHAnsi" w:cstheme="minorHAnsi"/>
          <w:color w:val="222222"/>
          <w:highlight w:val="white"/>
          <w:lang w:val="en-US"/>
        </w:rPr>
        <w:t xml:space="preserve"> </w:t>
      </w:r>
      <w:proofErr w:type="gramStart"/>
      <w:r w:rsidRPr="00CC6070">
        <w:rPr>
          <w:rFonts w:asciiTheme="minorHAnsi" w:eastAsia="Arial" w:hAnsiTheme="minorHAnsi" w:cstheme="minorHAnsi"/>
          <w:color w:val="222222"/>
          <w:highlight w:val="white"/>
          <w:lang w:val="en-US"/>
        </w:rPr>
        <w:t xml:space="preserve">In </w:t>
      </w:r>
      <w:proofErr w:type="spellStart"/>
      <w:r w:rsidRPr="00CC6070">
        <w:rPr>
          <w:rFonts w:asciiTheme="minorHAnsi" w:eastAsia="Arial" w:hAnsiTheme="minorHAnsi" w:cstheme="minorHAnsi"/>
          <w:i/>
          <w:color w:val="222222"/>
          <w:highlight w:val="white"/>
          <w:lang w:val="en-US"/>
        </w:rPr>
        <w:t>Annales</w:t>
      </w:r>
      <w:proofErr w:type="spellEnd"/>
      <w:r w:rsidRPr="00CC6070">
        <w:rPr>
          <w:rFonts w:asciiTheme="minorHAnsi" w:eastAsia="Arial" w:hAnsiTheme="minorHAnsi" w:cstheme="minorHAnsi"/>
          <w:i/>
          <w:color w:val="222222"/>
          <w:highlight w:val="white"/>
          <w:lang w:val="en-US"/>
        </w:rPr>
        <w:t xml:space="preserve"> de </w:t>
      </w:r>
      <w:proofErr w:type="spellStart"/>
      <w:r w:rsidRPr="00CC6070">
        <w:rPr>
          <w:rFonts w:asciiTheme="minorHAnsi" w:eastAsia="Arial" w:hAnsiTheme="minorHAnsi" w:cstheme="minorHAnsi"/>
          <w:i/>
          <w:color w:val="222222"/>
          <w:highlight w:val="white"/>
          <w:lang w:val="en-US"/>
        </w:rPr>
        <w:t>Paléontologie</w:t>
      </w:r>
      <w:proofErr w:type="spellEnd"/>
      <w:r w:rsidRPr="00CC6070">
        <w:rPr>
          <w:rFonts w:asciiTheme="minorHAnsi" w:eastAsia="Arial" w:hAnsiTheme="minorHAnsi" w:cstheme="minorHAnsi"/>
          <w:color w:val="222222"/>
          <w:highlight w:val="white"/>
          <w:lang w:val="en-US"/>
        </w:rPr>
        <w:t xml:space="preserve"> (Vol. 106, No. 2, p. 102380).</w:t>
      </w:r>
      <w:proofErr w:type="gramEnd"/>
      <w:r w:rsidRPr="00CC6070">
        <w:rPr>
          <w:rFonts w:asciiTheme="minorHAnsi" w:eastAsia="Arial" w:hAnsiTheme="minorHAnsi" w:cstheme="minorHAnsi"/>
          <w:color w:val="222222"/>
          <w:highlight w:val="white"/>
          <w:lang w:val="en-US"/>
        </w:rPr>
        <w:t xml:space="preserve"> Elsevier Masson. </w:t>
      </w:r>
      <w:hyperlink r:id="rId15">
        <w:r w:rsidRPr="00CC6070">
          <w:rPr>
            <w:rFonts w:asciiTheme="minorHAnsi" w:eastAsia="Arial" w:hAnsiTheme="minorHAnsi" w:cstheme="minorHAnsi"/>
            <w:color w:val="1155CC"/>
            <w:highlight w:val="white"/>
            <w:u w:val="single"/>
            <w:lang w:val="en-US"/>
          </w:rPr>
          <w:t>https://www.sciencedirect.com/scie</w:t>
        </w:r>
        <w:r w:rsidRPr="00CC6070">
          <w:rPr>
            <w:rFonts w:asciiTheme="minorHAnsi" w:eastAsia="Arial" w:hAnsiTheme="minorHAnsi" w:cstheme="minorHAnsi"/>
            <w:color w:val="1155CC"/>
            <w:highlight w:val="white"/>
            <w:u w:val="single"/>
            <w:lang w:val="en-US"/>
          </w:rPr>
          <w:t>nce/article/abs/pii/S0753396919300643</w:t>
        </w:r>
      </w:hyperlink>
      <w:r w:rsidRPr="00CC6070">
        <w:rPr>
          <w:rFonts w:asciiTheme="minorHAnsi" w:eastAsia="Arial" w:hAnsiTheme="minorHAnsi" w:cstheme="minorHAnsi"/>
          <w:color w:val="222222"/>
          <w:highlight w:val="white"/>
          <w:lang w:val="en-US"/>
        </w:rPr>
        <w:t xml:space="preserve"> </w:t>
      </w:r>
    </w:p>
    <w:p w:rsidR="00386404" w:rsidRPr="00CC6070" w:rsidRDefault="00386404">
      <w:pPr>
        <w:tabs>
          <w:tab w:val="left" w:pos="1316"/>
        </w:tabs>
        <w:ind w:left="1133" w:hanging="1133"/>
        <w:jc w:val="both"/>
        <w:rPr>
          <w:rFonts w:asciiTheme="minorHAnsi" w:eastAsia="Arial" w:hAnsiTheme="minorHAnsi" w:cstheme="minorHAnsi"/>
          <w:color w:val="222222"/>
          <w:highlight w:val="white"/>
          <w:lang w:val="en-US"/>
        </w:rPr>
      </w:pPr>
    </w:p>
    <w:p w:rsidR="00386404" w:rsidRPr="00CC6070" w:rsidRDefault="0036485C">
      <w:pPr>
        <w:tabs>
          <w:tab w:val="left" w:pos="1316"/>
        </w:tabs>
        <w:ind w:left="1133" w:hanging="1133"/>
        <w:jc w:val="both"/>
        <w:rPr>
          <w:rFonts w:asciiTheme="minorHAnsi" w:eastAsia="Arial" w:hAnsiTheme="minorHAnsi" w:cstheme="minorHAnsi"/>
          <w:color w:val="222222"/>
          <w:highlight w:val="white"/>
        </w:rPr>
      </w:pPr>
      <w:r w:rsidRPr="00CC6070">
        <w:rPr>
          <w:rFonts w:asciiTheme="minorHAnsi" w:eastAsia="Arial" w:hAnsiTheme="minorHAnsi" w:cstheme="minorHAnsi"/>
          <w:color w:val="222222"/>
          <w:highlight w:val="white"/>
          <w:lang w:val="en-US"/>
        </w:rPr>
        <w:t xml:space="preserve">Mol, D., Vlachos, E., UK, S. P., </w:t>
      </w:r>
      <w:proofErr w:type="spellStart"/>
      <w:r w:rsidRPr="00CC6070">
        <w:rPr>
          <w:rFonts w:asciiTheme="minorHAnsi" w:eastAsia="Arial" w:hAnsiTheme="minorHAnsi" w:cstheme="minorHAnsi"/>
          <w:color w:val="222222"/>
          <w:highlight w:val="white"/>
          <w:lang w:val="en-US"/>
        </w:rPr>
        <w:t>Vasileiadis</w:t>
      </w:r>
      <w:proofErr w:type="spellEnd"/>
      <w:r w:rsidRPr="00CC6070">
        <w:rPr>
          <w:rFonts w:asciiTheme="minorHAnsi" w:eastAsia="Arial" w:hAnsiTheme="minorHAnsi" w:cstheme="minorHAnsi"/>
          <w:color w:val="222222"/>
          <w:highlight w:val="white"/>
          <w:lang w:val="en-US"/>
        </w:rPr>
        <w:t xml:space="preserve">, N., </w:t>
      </w:r>
      <w:proofErr w:type="spellStart"/>
      <w:r w:rsidRPr="00CC6070">
        <w:rPr>
          <w:rFonts w:asciiTheme="minorHAnsi" w:eastAsia="Arial" w:hAnsiTheme="minorHAnsi" w:cstheme="minorHAnsi"/>
          <w:color w:val="222222"/>
          <w:highlight w:val="white"/>
          <w:lang w:val="en-US"/>
        </w:rPr>
        <w:t>Bacharidis</w:t>
      </w:r>
      <w:proofErr w:type="spellEnd"/>
      <w:r w:rsidRPr="00CC6070">
        <w:rPr>
          <w:rFonts w:asciiTheme="minorHAnsi" w:eastAsia="Arial" w:hAnsiTheme="minorHAnsi" w:cstheme="minorHAnsi"/>
          <w:color w:val="222222"/>
          <w:highlight w:val="white"/>
          <w:lang w:val="en-US"/>
        </w:rPr>
        <w:t xml:space="preserve">, N., </w:t>
      </w:r>
      <w:proofErr w:type="spellStart"/>
      <w:r w:rsidRPr="00CC6070">
        <w:rPr>
          <w:rFonts w:asciiTheme="minorHAnsi" w:eastAsia="Arial" w:hAnsiTheme="minorHAnsi" w:cstheme="minorHAnsi"/>
          <w:color w:val="222222"/>
          <w:highlight w:val="white"/>
          <w:lang w:val="en-US"/>
        </w:rPr>
        <w:t>Makridis</w:t>
      </w:r>
      <w:proofErr w:type="spellEnd"/>
      <w:r w:rsidRPr="00CC6070">
        <w:rPr>
          <w:rFonts w:asciiTheme="minorHAnsi" w:eastAsia="Arial" w:hAnsiTheme="minorHAnsi" w:cstheme="minorHAnsi"/>
          <w:color w:val="222222"/>
          <w:highlight w:val="white"/>
          <w:lang w:val="en-US"/>
        </w:rPr>
        <w:t xml:space="preserve">, V., &amp; </w:t>
      </w:r>
      <w:proofErr w:type="spellStart"/>
      <w:r w:rsidRPr="00CC6070">
        <w:rPr>
          <w:rFonts w:asciiTheme="minorHAnsi" w:eastAsia="Arial" w:hAnsiTheme="minorHAnsi" w:cstheme="minorHAnsi"/>
          <w:color w:val="222222"/>
          <w:highlight w:val="white"/>
          <w:lang w:val="en-US"/>
        </w:rPr>
        <w:t>Tsoukala</w:t>
      </w:r>
      <w:proofErr w:type="spellEnd"/>
      <w:r w:rsidRPr="00CC6070">
        <w:rPr>
          <w:rFonts w:asciiTheme="minorHAnsi" w:eastAsia="Arial" w:hAnsiTheme="minorHAnsi" w:cstheme="minorHAnsi"/>
          <w:color w:val="222222"/>
          <w:highlight w:val="white"/>
          <w:lang w:val="en-US"/>
        </w:rPr>
        <w:t xml:space="preserve">, E. </w:t>
      </w:r>
      <w:proofErr w:type="spellStart"/>
      <w:r w:rsidRPr="00CC6070">
        <w:rPr>
          <w:rFonts w:asciiTheme="minorHAnsi" w:eastAsia="Arial" w:hAnsiTheme="minorHAnsi" w:cstheme="minorHAnsi"/>
          <w:color w:val="222222"/>
          <w:highlight w:val="white"/>
          <w:lang w:val="en-US"/>
        </w:rPr>
        <w:t>Proboscidean</w:t>
      </w:r>
      <w:proofErr w:type="spellEnd"/>
      <w:r w:rsidRPr="00CC6070">
        <w:rPr>
          <w:rFonts w:asciiTheme="minorHAnsi" w:eastAsia="Arial" w:hAnsiTheme="minorHAnsi" w:cstheme="minorHAnsi"/>
          <w:color w:val="222222"/>
          <w:highlight w:val="white"/>
          <w:lang w:val="en-US"/>
        </w:rPr>
        <w:t xml:space="preserve"> tusks through time: a special case of excavation and displaying experience. </w:t>
      </w:r>
      <w:hyperlink r:id="rId16">
        <w:r w:rsidRPr="00CC6070">
          <w:rPr>
            <w:rFonts w:asciiTheme="minorHAnsi" w:eastAsia="Arial" w:hAnsiTheme="minorHAnsi" w:cstheme="minorHAnsi"/>
            <w:color w:val="1155CC"/>
            <w:highlight w:val="white"/>
            <w:u w:val="single"/>
          </w:rPr>
          <w:t>https://depositsmag.com/2024/02/03/proboscidean-tusks-through-time-a-special-case-of-excavation-and-displaying-experie</w:t>
        </w:r>
        <w:r w:rsidRPr="00CC6070">
          <w:rPr>
            <w:rFonts w:asciiTheme="minorHAnsi" w:eastAsia="Arial" w:hAnsiTheme="minorHAnsi" w:cstheme="minorHAnsi"/>
            <w:color w:val="1155CC"/>
            <w:highlight w:val="white"/>
            <w:u w:val="single"/>
          </w:rPr>
          <w:t>nce/</w:t>
        </w:r>
      </w:hyperlink>
      <w:r w:rsidRPr="00CC6070">
        <w:rPr>
          <w:rFonts w:asciiTheme="minorHAnsi" w:eastAsia="Arial" w:hAnsiTheme="minorHAnsi" w:cstheme="minorHAnsi"/>
          <w:color w:val="222222"/>
          <w:highlight w:val="white"/>
        </w:rPr>
        <w:t xml:space="preserve"> </w:t>
      </w:r>
    </w:p>
    <w:sectPr w:rsidR="00386404" w:rsidRPr="00CC6070" w:rsidSect="00386404">
      <w:headerReference w:type="default" r:id="rId17"/>
      <w:footerReference w:type="default" r:id="rId18"/>
      <w:pgSz w:w="11910" w:h="16840"/>
      <w:pgMar w:top="426" w:right="880" w:bottom="1240" w:left="720" w:header="431" w:footer="104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85C" w:rsidRDefault="0036485C" w:rsidP="00386404">
      <w:r>
        <w:separator/>
      </w:r>
    </w:p>
  </w:endnote>
  <w:endnote w:type="continuationSeparator" w:id="0">
    <w:p w:rsidR="0036485C" w:rsidRDefault="0036485C" w:rsidP="003864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04" w:rsidRDefault="00386404">
    <w:pPr>
      <w:pBdr>
        <w:top w:val="nil"/>
        <w:left w:val="nil"/>
        <w:bottom w:val="nil"/>
        <w:right w:val="nil"/>
        <w:between w:val="nil"/>
      </w:pBdr>
      <w:spacing w:line="14" w:lineRule="auto"/>
      <w:rPr>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85C" w:rsidRDefault="0036485C" w:rsidP="00386404">
      <w:r>
        <w:separator/>
      </w:r>
    </w:p>
  </w:footnote>
  <w:footnote w:type="continuationSeparator" w:id="0">
    <w:p w:rsidR="0036485C" w:rsidRDefault="0036485C" w:rsidP="003864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6485C">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allowOverlap="1">
          <wp:simplePos x="0" y="0"/>
          <wp:positionH relativeFrom="column">
            <wp:posOffset>1603375</wp:posOffset>
          </wp:positionH>
          <wp:positionV relativeFrom="paragraph">
            <wp:posOffset>9525</wp:posOffset>
          </wp:positionV>
          <wp:extent cx="3340100" cy="572135"/>
          <wp:effectExtent l="0" t="0" r="0" b="0"/>
          <wp:wrapSquare wrapText="bothSides" distT="0" distB="0" distL="114300" distR="114300"/>
          <wp:docPr id="38" name="image1.png" descr="Εικόνα που περιέχει κείμενο, στιγμιότυπο οθόνης, γραμματοσειρά, Μπελ ηλεκτρίκ&#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0" name="image1.png" descr="Εικόνα που περιέχει κείμενο, στιγμιότυπο οθόνης, γραμματοσειρά, Μπελ ηλεκτρίκ&#10;&#10;Περιγραφή που δημιουργήθηκε αυτόματα"/>
                  <pic:cNvPicPr preferRelativeResize="0"/>
                </pic:nvPicPr>
                <pic:blipFill>
                  <a:blip r:embed="rId1"/>
                  <a:srcRect/>
                  <a:stretch>
                    <a:fillRect/>
                  </a:stretch>
                </pic:blipFill>
                <pic:spPr>
                  <a:xfrm>
                    <a:off x="0" y="0"/>
                    <a:ext cx="3340100" cy="572135"/>
                  </a:xfrm>
                  <a:prstGeom prst="rect">
                    <a:avLst/>
                  </a:prstGeom>
                  <a:ln/>
                </pic:spPr>
              </pic:pic>
            </a:graphicData>
          </a:graphic>
        </wp:anchor>
      </w:drawing>
    </w: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p w:rsidR="00386404" w:rsidRDefault="00386404">
    <w:pPr>
      <w:pBdr>
        <w:top w:val="nil"/>
        <w:left w:val="nil"/>
        <w:bottom w:val="nil"/>
        <w:right w:val="nil"/>
        <w:between w:val="nil"/>
      </w:pBdr>
      <w:spacing w:line="14" w:lineRule="auto"/>
      <w:rPr>
        <w:color w:val="000000"/>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386404"/>
    <w:rsid w:val="0036485C"/>
    <w:rsid w:val="00386404"/>
    <w:rsid w:val="00CC60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l-GR" w:eastAsia="el-G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86404"/>
  </w:style>
  <w:style w:type="paragraph" w:styleId="1">
    <w:name w:val="heading 1"/>
    <w:basedOn w:val="a"/>
    <w:uiPriority w:val="1"/>
    <w:qFormat/>
    <w:rsid w:val="00386404"/>
    <w:pPr>
      <w:ind w:left="1080"/>
      <w:outlineLvl w:val="0"/>
    </w:pPr>
    <w:rPr>
      <w:b/>
      <w:bCs/>
      <w:sz w:val="24"/>
      <w:szCs w:val="24"/>
    </w:rPr>
  </w:style>
  <w:style w:type="paragraph" w:styleId="2">
    <w:name w:val="heading 2"/>
    <w:basedOn w:val="normal"/>
    <w:next w:val="normal"/>
    <w:rsid w:val="00386404"/>
    <w:pPr>
      <w:keepNext/>
      <w:keepLines/>
      <w:spacing w:before="360" w:after="80"/>
      <w:outlineLvl w:val="1"/>
    </w:pPr>
    <w:rPr>
      <w:b/>
      <w:sz w:val="36"/>
      <w:szCs w:val="36"/>
    </w:rPr>
  </w:style>
  <w:style w:type="paragraph" w:styleId="3">
    <w:name w:val="heading 3"/>
    <w:basedOn w:val="normal"/>
    <w:next w:val="normal"/>
    <w:rsid w:val="00386404"/>
    <w:pPr>
      <w:keepNext/>
      <w:keepLines/>
      <w:spacing w:before="280" w:after="80"/>
      <w:outlineLvl w:val="2"/>
    </w:pPr>
    <w:rPr>
      <w:b/>
      <w:sz w:val="28"/>
      <w:szCs w:val="28"/>
    </w:rPr>
  </w:style>
  <w:style w:type="paragraph" w:styleId="4">
    <w:name w:val="heading 4"/>
    <w:basedOn w:val="normal"/>
    <w:next w:val="normal"/>
    <w:rsid w:val="00386404"/>
    <w:pPr>
      <w:keepNext/>
      <w:keepLines/>
      <w:spacing w:before="240" w:after="40"/>
      <w:outlineLvl w:val="3"/>
    </w:pPr>
    <w:rPr>
      <w:b/>
      <w:sz w:val="24"/>
      <w:szCs w:val="24"/>
    </w:rPr>
  </w:style>
  <w:style w:type="paragraph" w:styleId="5">
    <w:name w:val="heading 5"/>
    <w:basedOn w:val="normal"/>
    <w:next w:val="normal"/>
    <w:rsid w:val="00386404"/>
    <w:pPr>
      <w:keepNext/>
      <w:keepLines/>
      <w:spacing w:before="220" w:after="40"/>
      <w:outlineLvl w:val="4"/>
    </w:pPr>
    <w:rPr>
      <w:b/>
    </w:rPr>
  </w:style>
  <w:style w:type="paragraph" w:styleId="6">
    <w:name w:val="heading 6"/>
    <w:basedOn w:val="normal"/>
    <w:next w:val="normal"/>
    <w:rsid w:val="0038640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386404"/>
  </w:style>
  <w:style w:type="table" w:customStyle="1" w:styleId="TableNormal">
    <w:name w:val="Table Normal"/>
    <w:rsid w:val="00386404"/>
    <w:tblPr>
      <w:tblCellMar>
        <w:top w:w="0" w:type="dxa"/>
        <w:left w:w="0" w:type="dxa"/>
        <w:bottom w:w="0" w:type="dxa"/>
        <w:right w:w="0" w:type="dxa"/>
      </w:tblCellMar>
    </w:tblPr>
  </w:style>
  <w:style w:type="paragraph" w:styleId="a3">
    <w:name w:val="Title"/>
    <w:basedOn w:val="a"/>
    <w:uiPriority w:val="1"/>
    <w:qFormat/>
    <w:rsid w:val="00386404"/>
    <w:pPr>
      <w:spacing w:before="126"/>
      <w:ind w:left="1519" w:right="1359"/>
      <w:jc w:val="center"/>
    </w:pPr>
    <w:rPr>
      <w:b/>
      <w:bCs/>
      <w:sz w:val="48"/>
      <w:szCs w:val="48"/>
    </w:rPr>
  </w:style>
  <w:style w:type="table" w:customStyle="1" w:styleId="NormalTable0">
    <w:name w:val="Normal Table0"/>
    <w:uiPriority w:val="2"/>
    <w:semiHidden/>
    <w:unhideWhenUsed/>
    <w:qFormat/>
    <w:rsid w:val="00386404"/>
    <w:tblPr>
      <w:tblInd w:w="0" w:type="dxa"/>
      <w:tblCellMar>
        <w:top w:w="0" w:type="dxa"/>
        <w:left w:w="0" w:type="dxa"/>
        <w:bottom w:w="0" w:type="dxa"/>
        <w:right w:w="0" w:type="dxa"/>
      </w:tblCellMar>
    </w:tblPr>
  </w:style>
  <w:style w:type="paragraph" w:styleId="a4">
    <w:name w:val="Body Text"/>
    <w:basedOn w:val="a"/>
    <w:uiPriority w:val="1"/>
    <w:qFormat/>
    <w:rsid w:val="00386404"/>
    <w:rPr>
      <w:sz w:val="24"/>
      <w:szCs w:val="24"/>
    </w:rPr>
  </w:style>
  <w:style w:type="paragraph" w:styleId="a5">
    <w:name w:val="List Paragraph"/>
    <w:basedOn w:val="a"/>
    <w:uiPriority w:val="1"/>
    <w:qFormat/>
    <w:rsid w:val="00386404"/>
    <w:pPr>
      <w:ind w:left="1080"/>
      <w:jc w:val="both"/>
    </w:pPr>
  </w:style>
  <w:style w:type="paragraph" w:customStyle="1" w:styleId="TableParagraph">
    <w:name w:val="Table Paragraph"/>
    <w:basedOn w:val="a"/>
    <w:uiPriority w:val="1"/>
    <w:qFormat/>
    <w:rsid w:val="00386404"/>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Subtitle"/>
    <w:basedOn w:val="normal"/>
    <w:next w:val="normal"/>
    <w:rsid w:val="00386404"/>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oi.org/10.1111/pala.12335" TargetMode="External"/><Relationship Id="rId13" Type="http://schemas.openxmlformats.org/officeDocument/2006/relationships/hyperlink" Target="https://doi.org/10.1080/10382046.2017.1330037"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1177/0309133308094081" TargetMode="External"/><Relationship Id="rId12" Type="http://schemas.openxmlformats.org/officeDocument/2006/relationships/hyperlink" Target="https://doi.org/10.1111/ECOG.0303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epositsmag.com/2024/02/03/proboscidean-tusks-through-time-a-special-case-of-excavation-and-displaying-experien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126/science.abc5654" TargetMode="External"/><Relationship Id="rId5" Type="http://schemas.openxmlformats.org/officeDocument/2006/relationships/footnotes" Target="footnotes.xml"/><Relationship Id="rId15" Type="http://schemas.openxmlformats.org/officeDocument/2006/relationships/hyperlink" Target="https://www.sciencedirect.com/science/article/abs/pii/S0753396919300643" TargetMode="External"/><Relationship Id="rId10" Type="http://schemas.openxmlformats.org/officeDocument/2006/relationships/hyperlink" Target="https://doi.org/10.1016/J.JHEVOL.2007.05.01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26/science.330.6004.582" TargetMode="External"/><Relationship Id="rId14" Type="http://schemas.openxmlformats.org/officeDocument/2006/relationships/hyperlink" Target="https://doi.org/10.1080/13504622.2017.136084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f6cQKHZtdxz3/HyahVjXyDI6hw==">CgMxLjAyDmgucHdhY25lYmplM2xwMg5oLjJrbHRrZ293NWY1bjgAciExRnVheGg5TEZtZlg2MHFESmZ6SHFKYnpYZjBEemF1bUs=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1151</Words>
  <Characters>6217</Characters>
  <Application>Microsoft Office Word</Application>
  <DocSecurity>0</DocSecurity>
  <Lines>51</Lines>
  <Paragraphs>14</Paragraphs>
  <ScaleCrop>false</ScaleCrop>
  <Company/>
  <LinksUpToDate>false</LinksUpToDate>
  <CharactersWithSpaces>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Ελένη Νιάρχου</cp:lastModifiedBy>
  <cp:revision>2</cp:revision>
  <dcterms:created xsi:type="dcterms:W3CDTF">2024-06-05T11:08:00Z</dcterms:created>
  <dcterms:modified xsi:type="dcterms:W3CDTF">2024-12-09T17:39:00Z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